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84E5D" w14:textId="69087053" w:rsidR="00B84925" w:rsidRDefault="00B84925" w:rsidP="00B84925">
      <w:pPr>
        <w:jc w:val="center"/>
        <w:rPr>
          <w:rFonts w:asciiTheme="majorBidi" w:hAnsiTheme="majorBidi" w:cstheme="majorBidi"/>
          <w:b/>
          <w:bCs/>
          <w:sz w:val="20"/>
          <w:szCs w:val="20"/>
        </w:rPr>
      </w:pPr>
      <w:r>
        <w:rPr>
          <w:rFonts w:asciiTheme="majorBidi" w:hAnsiTheme="majorBidi" w:cstheme="majorBidi"/>
          <w:b/>
          <w:bCs/>
          <w:noProof/>
          <w:sz w:val="20"/>
          <w:szCs w:val="20"/>
          <w:lang w:val="en-US" w:bidi="he-IL"/>
          <w14:ligatures w14:val="none"/>
        </w:rPr>
        <w:drawing>
          <wp:inline distT="0" distB="0" distL="0" distR="0" wp14:anchorId="03CA0040" wp14:editId="7800A2B1">
            <wp:extent cx="4284785" cy="965074"/>
            <wp:effectExtent l="0" t="0" r="1905" b="698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 חדש 2023 - אנגלית.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5422" cy="976479"/>
                    </a:xfrm>
                    <a:prstGeom prst="rect">
                      <a:avLst/>
                    </a:prstGeom>
                  </pic:spPr>
                </pic:pic>
              </a:graphicData>
            </a:graphic>
          </wp:inline>
        </w:drawing>
      </w:r>
    </w:p>
    <w:p w14:paraId="7AF7CFC6" w14:textId="6C5D6DE7" w:rsidR="00444083" w:rsidRDefault="00055D17" w:rsidP="00B84925">
      <w:pPr>
        <w:jc w:val="center"/>
        <w:rPr>
          <w:rFonts w:asciiTheme="majorBidi" w:hAnsiTheme="majorBidi" w:cstheme="majorBidi"/>
          <w:b/>
          <w:bCs/>
          <w:sz w:val="20"/>
          <w:szCs w:val="20"/>
        </w:rPr>
      </w:pPr>
      <w:r w:rsidRPr="00B84925">
        <w:rPr>
          <w:rFonts w:asciiTheme="majorBidi" w:hAnsiTheme="majorBidi" w:cstheme="majorBidi"/>
          <w:b/>
          <w:bCs/>
          <w:sz w:val="20"/>
          <w:szCs w:val="20"/>
        </w:rPr>
        <w:t>Clarifications for Tender Number 47/2025</w:t>
      </w:r>
    </w:p>
    <w:p w14:paraId="574E1D1E" w14:textId="6ABFFECF" w:rsidR="00760DC4" w:rsidRDefault="00760DC4" w:rsidP="00B84925">
      <w:pPr>
        <w:jc w:val="center"/>
        <w:rPr>
          <w:rFonts w:asciiTheme="majorBidi" w:hAnsiTheme="majorBidi" w:cstheme="majorBidi"/>
          <w:b/>
          <w:bCs/>
          <w:sz w:val="20"/>
          <w:szCs w:val="20"/>
        </w:rPr>
      </w:pPr>
    </w:p>
    <w:p w14:paraId="4EF90BC5" w14:textId="77777777" w:rsidR="00760DC4" w:rsidRDefault="00760DC4" w:rsidP="00760DC4">
      <w:pPr>
        <w:rPr>
          <w:rFonts w:eastAsia="Times New Roman"/>
          <w:kern w:val="0"/>
          <w:sz w:val="22"/>
          <w:szCs w:val="22"/>
          <w:lang w:val="en-US" w:bidi="he-IL"/>
          <w14:ligatures w14:val="none"/>
        </w:rPr>
      </w:pPr>
      <w:r>
        <w:rPr>
          <w:rFonts w:eastAsia="Times New Roman"/>
        </w:rPr>
        <w:t>Subject: Tender No. 47/2025 – “Upstream Oil and Gas Auditing, Inspection, HSE” and “Evaluation and Advisory Services with regard to Hydrocarbon Resources and Reserves and Gas Storage Planning in Israel”</w:t>
      </w:r>
    </w:p>
    <w:p w14:paraId="434553FE" w14:textId="77777777" w:rsidR="00760DC4" w:rsidRDefault="00760DC4" w:rsidP="00760DC4">
      <w:pPr>
        <w:rPr>
          <w:rFonts w:eastAsia="Times New Roman"/>
        </w:rPr>
      </w:pPr>
    </w:p>
    <w:p w14:paraId="55B3FF6E" w14:textId="77777777" w:rsidR="00760DC4" w:rsidRDefault="00760DC4" w:rsidP="00760DC4">
      <w:pPr>
        <w:rPr>
          <w:rFonts w:eastAsia="Times New Roman"/>
        </w:rPr>
      </w:pPr>
      <w:r>
        <w:rPr>
          <w:rFonts w:eastAsia="Times New Roman"/>
        </w:rPr>
        <w:t>The Ministry hereby publishes answers to questions and requests for clarification in the framework of the above mentioned Tender.</w:t>
      </w:r>
    </w:p>
    <w:p w14:paraId="755AF5BA" w14:textId="77777777" w:rsidR="00760DC4" w:rsidRDefault="00760DC4" w:rsidP="00760DC4">
      <w:pPr>
        <w:rPr>
          <w:rFonts w:eastAsia="Times New Roman"/>
        </w:rPr>
      </w:pPr>
      <w:r>
        <w:rPr>
          <w:rFonts w:eastAsia="Times New Roman"/>
        </w:rPr>
        <w:t>Together with the Ministry’s answers, the amended version of the Tender Documents is hereby published, in accordance with the Ministry’s answers.</w:t>
      </w:r>
    </w:p>
    <w:p w14:paraId="3D91C773" w14:textId="77777777" w:rsidR="00760DC4" w:rsidRDefault="00760DC4" w:rsidP="00760DC4">
      <w:pPr>
        <w:rPr>
          <w:rFonts w:eastAsia="Times New Roman"/>
        </w:rPr>
      </w:pPr>
      <w:r>
        <w:rPr>
          <w:rFonts w:eastAsia="Times New Roman"/>
        </w:rPr>
        <w:t>It is clarified that the Ministry’s answers shall constitute an integral part of the terms of the agreement(s) to be signed with the successful bidder(s) under this Tender.</w:t>
      </w:r>
    </w:p>
    <w:p w14:paraId="1C9D4964" w14:textId="77777777" w:rsidR="00760DC4" w:rsidRDefault="00760DC4" w:rsidP="00760DC4">
      <w:pPr>
        <w:rPr>
          <w:rFonts w:eastAsia="Times New Roman"/>
        </w:rPr>
      </w:pPr>
    </w:p>
    <w:p w14:paraId="629F2F27" w14:textId="77777777" w:rsidR="00760DC4" w:rsidRPr="00B84925" w:rsidRDefault="00760DC4" w:rsidP="00B84925">
      <w:pPr>
        <w:jc w:val="center"/>
        <w:rPr>
          <w:rFonts w:asciiTheme="majorBidi" w:hAnsiTheme="majorBidi" w:cstheme="majorBidi"/>
          <w:b/>
          <w:bCs/>
          <w:sz w:val="20"/>
          <w:szCs w:val="20"/>
        </w:rPr>
      </w:pPr>
    </w:p>
    <w:tbl>
      <w:tblPr>
        <w:tblStyle w:val="a3"/>
        <w:tblW w:w="0" w:type="auto"/>
        <w:jc w:val="center"/>
        <w:tblLook w:val="04A0" w:firstRow="1" w:lastRow="0" w:firstColumn="1" w:lastColumn="0" w:noHBand="0" w:noVBand="1"/>
      </w:tblPr>
      <w:tblGrid>
        <w:gridCol w:w="421"/>
        <w:gridCol w:w="1842"/>
        <w:gridCol w:w="6379"/>
        <w:gridCol w:w="6746"/>
      </w:tblGrid>
      <w:tr w:rsidR="00F3497B" w:rsidRPr="00B84925" w14:paraId="0BDF1472" w14:textId="2C8A9DA5" w:rsidTr="00B84925">
        <w:trPr>
          <w:cantSplit/>
          <w:tblHeader/>
          <w:jc w:val="center"/>
        </w:trPr>
        <w:tc>
          <w:tcPr>
            <w:tcW w:w="421" w:type="dxa"/>
          </w:tcPr>
          <w:p w14:paraId="77DBB762" w14:textId="7A2D2D77" w:rsidR="00F3497B" w:rsidRPr="00B84925" w:rsidRDefault="00F3497B" w:rsidP="00B84925">
            <w:pPr>
              <w:rPr>
                <w:rFonts w:asciiTheme="majorBidi" w:hAnsiTheme="majorBidi" w:cstheme="majorBidi"/>
                <w:b/>
                <w:bCs/>
                <w:sz w:val="20"/>
                <w:szCs w:val="20"/>
                <w:lang w:val="en-US"/>
              </w:rPr>
            </w:pPr>
            <w:r w:rsidRPr="00B84925">
              <w:rPr>
                <w:rFonts w:asciiTheme="majorBidi" w:hAnsiTheme="majorBidi" w:cstheme="majorBidi"/>
                <w:b/>
                <w:bCs/>
                <w:sz w:val="20"/>
                <w:szCs w:val="20"/>
              </w:rPr>
              <w:t>#</w:t>
            </w:r>
          </w:p>
        </w:tc>
        <w:tc>
          <w:tcPr>
            <w:tcW w:w="1842" w:type="dxa"/>
          </w:tcPr>
          <w:p w14:paraId="02AE8CD6" w14:textId="0BD873F2" w:rsidR="00F3497B" w:rsidRPr="00B84925" w:rsidRDefault="00F3497B" w:rsidP="00B84925">
            <w:pPr>
              <w:rPr>
                <w:rFonts w:asciiTheme="majorBidi" w:hAnsiTheme="majorBidi" w:cstheme="majorBidi"/>
                <w:b/>
                <w:bCs/>
                <w:sz w:val="20"/>
                <w:szCs w:val="20"/>
              </w:rPr>
            </w:pPr>
            <w:r w:rsidRPr="00B84925">
              <w:rPr>
                <w:rFonts w:asciiTheme="majorBidi" w:hAnsiTheme="majorBidi" w:cstheme="majorBidi"/>
                <w:b/>
                <w:bCs/>
                <w:sz w:val="20"/>
                <w:szCs w:val="20"/>
              </w:rPr>
              <w:t>Section</w:t>
            </w:r>
          </w:p>
        </w:tc>
        <w:tc>
          <w:tcPr>
            <w:tcW w:w="6379" w:type="dxa"/>
          </w:tcPr>
          <w:p w14:paraId="7D5DA064" w14:textId="65F31E12" w:rsidR="00F3497B" w:rsidRPr="00B84925" w:rsidRDefault="00F3497B" w:rsidP="00B84925">
            <w:pPr>
              <w:rPr>
                <w:rFonts w:asciiTheme="majorBidi" w:hAnsiTheme="majorBidi" w:cstheme="majorBidi"/>
                <w:b/>
                <w:bCs/>
                <w:sz w:val="20"/>
                <w:szCs w:val="20"/>
              </w:rPr>
            </w:pPr>
            <w:r w:rsidRPr="00B84925">
              <w:rPr>
                <w:rFonts w:asciiTheme="majorBidi" w:hAnsiTheme="majorBidi" w:cstheme="majorBidi"/>
                <w:b/>
                <w:bCs/>
                <w:sz w:val="20"/>
                <w:szCs w:val="20"/>
              </w:rPr>
              <w:t>Details of question / clarification</w:t>
            </w:r>
          </w:p>
        </w:tc>
        <w:tc>
          <w:tcPr>
            <w:tcW w:w="6746" w:type="dxa"/>
          </w:tcPr>
          <w:p w14:paraId="5CCE7B83" w14:textId="5ABEE990" w:rsidR="00F3497B" w:rsidRPr="00B84925" w:rsidRDefault="00F3497B" w:rsidP="00B84925">
            <w:pPr>
              <w:rPr>
                <w:rFonts w:asciiTheme="majorBidi" w:hAnsiTheme="majorBidi" w:cstheme="majorBidi"/>
                <w:b/>
                <w:bCs/>
                <w:sz w:val="20"/>
                <w:szCs w:val="20"/>
              </w:rPr>
            </w:pPr>
            <w:r w:rsidRPr="00B84925">
              <w:rPr>
                <w:rFonts w:asciiTheme="majorBidi" w:hAnsiTheme="majorBidi" w:cstheme="majorBidi"/>
                <w:b/>
                <w:bCs/>
                <w:sz w:val="20"/>
                <w:szCs w:val="20"/>
              </w:rPr>
              <w:t>MoE Answers</w:t>
            </w:r>
          </w:p>
        </w:tc>
      </w:tr>
      <w:tr w:rsidR="009D10AC" w:rsidRPr="00B84925" w14:paraId="35C335E7" w14:textId="77777777" w:rsidTr="00B84925">
        <w:trPr>
          <w:cantSplit/>
          <w:jc w:val="center"/>
        </w:trPr>
        <w:tc>
          <w:tcPr>
            <w:tcW w:w="421" w:type="dxa"/>
          </w:tcPr>
          <w:p w14:paraId="7D8BB3BD" w14:textId="5A83EF84" w:rsidR="009D10AC" w:rsidRPr="00B84925" w:rsidRDefault="00B84925" w:rsidP="00B84925">
            <w:pPr>
              <w:rPr>
                <w:rFonts w:asciiTheme="majorBidi" w:hAnsiTheme="majorBidi" w:cstheme="majorBidi"/>
                <w:sz w:val="20"/>
                <w:szCs w:val="20"/>
              </w:rPr>
            </w:pPr>
            <w:r>
              <w:rPr>
                <w:rFonts w:asciiTheme="majorBidi" w:hAnsiTheme="majorBidi" w:cstheme="majorBidi"/>
                <w:sz w:val="20"/>
                <w:szCs w:val="20"/>
              </w:rPr>
              <w:t>1</w:t>
            </w:r>
          </w:p>
        </w:tc>
        <w:tc>
          <w:tcPr>
            <w:tcW w:w="1842" w:type="dxa"/>
          </w:tcPr>
          <w:p w14:paraId="737B44E1" w14:textId="28084DDB" w:rsidR="009D10AC" w:rsidRPr="00B84925" w:rsidRDefault="009D10AC" w:rsidP="00B84925">
            <w:pPr>
              <w:rPr>
                <w:rFonts w:asciiTheme="majorBidi" w:hAnsiTheme="majorBidi" w:cstheme="majorBidi"/>
                <w:sz w:val="20"/>
                <w:szCs w:val="20"/>
              </w:rPr>
            </w:pPr>
            <w:r w:rsidRPr="00B84925">
              <w:rPr>
                <w:rFonts w:asciiTheme="majorBidi" w:hAnsiTheme="majorBidi" w:cstheme="majorBidi"/>
                <w:sz w:val="20"/>
                <w:szCs w:val="20"/>
              </w:rPr>
              <w:t>1.2</w:t>
            </w:r>
          </w:p>
        </w:tc>
        <w:tc>
          <w:tcPr>
            <w:tcW w:w="6379" w:type="dxa"/>
          </w:tcPr>
          <w:p w14:paraId="02CF460A" w14:textId="77777777" w:rsidR="009D10AC" w:rsidRPr="00B84925" w:rsidRDefault="009D10AC" w:rsidP="00B84925">
            <w:pPr>
              <w:spacing w:line="276" w:lineRule="auto"/>
              <w:rPr>
                <w:rFonts w:asciiTheme="majorBidi" w:hAnsiTheme="majorBidi" w:cstheme="majorBidi"/>
                <w:sz w:val="20"/>
                <w:szCs w:val="20"/>
              </w:rPr>
            </w:pPr>
            <w:r w:rsidRPr="00B84925">
              <w:rPr>
                <w:rFonts w:asciiTheme="majorBidi" w:hAnsiTheme="majorBidi" w:cstheme="majorBidi"/>
                <w:sz w:val="20"/>
                <w:szCs w:val="20"/>
              </w:rPr>
              <w:t xml:space="preserve">In section 1.2 Bid bound paragraph 1.2.4 its states that the Bid Bond shall be subject to Israeli Law.  </w:t>
            </w:r>
          </w:p>
          <w:p w14:paraId="64BE9C03" w14:textId="77777777" w:rsidR="009D10AC" w:rsidRPr="00B84925" w:rsidRDefault="009D10AC" w:rsidP="00B84925">
            <w:pPr>
              <w:spacing w:line="276" w:lineRule="auto"/>
              <w:rPr>
                <w:rFonts w:asciiTheme="majorBidi" w:hAnsiTheme="majorBidi" w:cstheme="majorBidi"/>
                <w:sz w:val="20"/>
                <w:szCs w:val="20"/>
              </w:rPr>
            </w:pPr>
          </w:p>
          <w:p w14:paraId="5B0E693E" w14:textId="79056BA7" w:rsidR="009D10AC" w:rsidRPr="00B84925" w:rsidRDefault="009D10AC"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Clarification:</w:t>
            </w:r>
            <w:r w:rsidRPr="00B84925">
              <w:rPr>
                <w:rFonts w:asciiTheme="majorBidi" w:hAnsiTheme="majorBidi" w:cstheme="majorBidi"/>
                <w:i/>
                <w:iCs/>
                <w:sz w:val="20"/>
                <w:szCs w:val="20"/>
              </w:rPr>
              <w:t xml:space="preserve"> as it is unlikely a US bank will agree to have this clause can this be waived?</w:t>
            </w:r>
          </w:p>
        </w:tc>
        <w:tc>
          <w:tcPr>
            <w:tcW w:w="6746" w:type="dxa"/>
          </w:tcPr>
          <w:p w14:paraId="52E852F4" w14:textId="625A5D52" w:rsidR="009D10AC" w:rsidRPr="00B84925" w:rsidRDefault="009D10AC" w:rsidP="00B84925">
            <w:pPr>
              <w:rPr>
                <w:rFonts w:asciiTheme="majorBidi" w:hAnsiTheme="majorBidi" w:cstheme="majorBidi"/>
                <w:sz w:val="20"/>
                <w:szCs w:val="20"/>
              </w:rPr>
            </w:pPr>
            <w:r w:rsidRPr="00B84925">
              <w:rPr>
                <w:rFonts w:asciiTheme="majorBidi" w:hAnsiTheme="majorBidi" w:cstheme="majorBidi"/>
                <w:sz w:val="20"/>
                <w:szCs w:val="20"/>
              </w:rPr>
              <w:t>We are unable to entertain changes to this provision.</w:t>
            </w:r>
          </w:p>
        </w:tc>
      </w:tr>
      <w:tr w:rsidR="00F3497B" w:rsidRPr="00B84925" w14:paraId="1E2A30CB" w14:textId="78652FBF" w:rsidTr="00B84925">
        <w:trPr>
          <w:cantSplit/>
          <w:jc w:val="center"/>
        </w:trPr>
        <w:tc>
          <w:tcPr>
            <w:tcW w:w="421" w:type="dxa"/>
          </w:tcPr>
          <w:p w14:paraId="69AF9FB8" w14:textId="12888C06" w:rsidR="00F3497B" w:rsidRPr="00B84925" w:rsidRDefault="00B84925" w:rsidP="00B84925">
            <w:pPr>
              <w:rPr>
                <w:rFonts w:asciiTheme="majorBidi" w:hAnsiTheme="majorBidi" w:cstheme="majorBidi"/>
                <w:sz w:val="20"/>
                <w:szCs w:val="20"/>
              </w:rPr>
            </w:pPr>
            <w:r>
              <w:rPr>
                <w:rFonts w:asciiTheme="majorBidi" w:hAnsiTheme="majorBidi" w:cstheme="majorBidi"/>
                <w:sz w:val="20"/>
                <w:szCs w:val="20"/>
              </w:rPr>
              <w:t>2</w:t>
            </w:r>
          </w:p>
        </w:tc>
        <w:tc>
          <w:tcPr>
            <w:tcW w:w="1842" w:type="dxa"/>
          </w:tcPr>
          <w:p w14:paraId="0820040D" w14:textId="7CBDF039"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2.1/2.2</w:t>
            </w:r>
          </w:p>
        </w:tc>
        <w:tc>
          <w:tcPr>
            <w:tcW w:w="6379" w:type="dxa"/>
          </w:tcPr>
          <w:p w14:paraId="0FC6D311" w14:textId="298CE6D0"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Does the same criteria apply for Basket 2, i.e.</w:t>
            </w:r>
          </w:p>
          <w:p w14:paraId="01B423A9" w14:textId="31E6B7AA"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1) the Project Manager can be included as a leading expert,</w:t>
            </w:r>
          </w:p>
          <w:p w14:paraId="4F4827C3" w14:textId="3ED5FA0E"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2) and one expert may cover more than one discipline?</w:t>
            </w:r>
          </w:p>
        </w:tc>
        <w:tc>
          <w:tcPr>
            <w:tcW w:w="6746" w:type="dxa"/>
          </w:tcPr>
          <w:p w14:paraId="4137DFC1" w14:textId="1D853111"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1</w:t>
            </w:r>
            <w:r w:rsidR="006A4442" w:rsidRPr="00B84925">
              <w:rPr>
                <w:rFonts w:asciiTheme="majorBidi" w:hAnsiTheme="majorBidi" w:cstheme="majorBidi"/>
                <w:sz w:val="20"/>
                <w:szCs w:val="20"/>
              </w:rPr>
              <w:t>) Yes. The tender document has been updated accordingly (last sentence of Section 2.2g).</w:t>
            </w:r>
          </w:p>
          <w:p w14:paraId="5CE5A673" w14:textId="51D5309E"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2) No</w:t>
            </w:r>
            <w:r w:rsidR="006A4442" w:rsidRPr="00B84925">
              <w:rPr>
                <w:rFonts w:asciiTheme="majorBidi" w:hAnsiTheme="majorBidi" w:cstheme="majorBidi"/>
                <w:sz w:val="20"/>
                <w:szCs w:val="20"/>
              </w:rPr>
              <w:t>. Each discipline must have a dedicated expert.</w:t>
            </w:r>
          </w:p>
        </w:tc>
      </w:tr>
      <w:tr w:rsidR="00F3497B" w:rsidRPr="00B84925" w14:paraId="325957BC" w14:textId="77777777" w:rsidTr="00B84925">
        <w:trPr>
          <w:cantSplit/>
          <w:jc w:val="center"/>
        </w:trPr>
        <w:tc>
          <w:tcPr>
            <w:tcW w:w="421" w:type="dxa"/>
          </w:tcPr>
          <w:p w14:paraId="3E4D30ED" w14:textId="1B707954" w:rsidR="00F3497B" w:rsidRPr="00B84925" w:rsidRDefault="00B84925" w:rsidP="00B84925">
            <w:pPr>
              <w:rPr>
                <w:rFonts w:asciiTheme="majorBidi" w:hAnsiTheme="majorBidi" w:cstheme="majorBidi"/>
                <w:sz w:val="20"/>
                <w:szCs w:val="20"/>
              </w:rPr>
            </w:pPr>
            <w:r>
              <w:rPr>
                <w:rFonts w:asciiTheme="majorBidi" w:hAnsiTheme="majorBidi" w:cstheme="majorBidi"/>
                <w:sz w:val="20"/>
                <w:szCs w:val="20"/>
              </w:rPr>
              <w:lastRenderedPageBreak/>
              <w:t>3</w:t>
            </w:r>
          </w:p>
        </w:tc>
        <w:tc>
          <w:tcPr>
            <w:tcW w:w="1842" w:type="dxa"/>
          </w:tcPr>
          <w:p w14:paraId="21874C29" w14:textId="21A66900" w:rsidR="00F3497B" w:rsidRPr="00B84925" w:rsidRDefault="006A4442" w:rsidP="00B84925">
            <w:pPr>
              <w:rPr>
                <w:rFonts w:asciiTheme="majorBidi" w:hAnsiTheme="majorBidi" w:cstheme="majorBidi"/>
                <w:sz w:val="20"/>
                <w:szCs w:val="20"/>
                <w:lang w:bidi="he-IL"/>
              </w:rPr>
            </w:pPr>
            <w:r w:rsidRPr="00B84925">
              <w:rPr>
                <w:rFonts w:asciiTheme="majorBidi" w:hAnsiTheme="majorBidi" w:cstheme="majorBidi"/>
                <w:sz w:val="20"/>
                <w:szCs w:val="20"/>
              </w:rPr>
              <w:t>2.1.2</w:t>
            </w:r>
          </w:p>
        </w:tc>
        <w:tc>
          <w:tcPr>
            <w:tcW w:w="6379" w:type="dxa"/>
          </w:tcPr>
          <w:p w14:paraId="5E817FD5" w14:textId="2DFFCE1E" w:rsidR="00F3497B" w:rsidRPr="00B84925" w:rsidRDefault="00F3497B"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Where does Leading International Expert fit into the pricing scheme?</w:t>
            </w:r>
          </w:p>
        </w:tc>
        <w:tc>
          <w:tcPr>
            <w:tcW w:w="6746" w:type="dxa"/>
          </w:tcPr>
          <w:p w14:paraId="5F05C9B3" w14:textId="72C8ABF8"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The Ministry clarifies that the classification of “Leading International Experts” in Section 2.1 of the Tender refers to the functional and professional structure of the consulting team and does not constitute a separate pricing category.</w:t>
            </w:r>
            <w:r w:rsidR="006A4442" w:rsidRPr="00B84925">
              <w:rPr>
                <w:rFonts w:asciiTheme="majorBidi" w:eastAsia="Times New Roman" w:hAnsiTheme="majorBidi" w:cstheme="majorBidi"/>
                <w:kern w:val="0"/>
                <w:sz w:val="20"/>
                <w:szCs w:val="20"/>
                <w:lang w:val="en-US" w:bidi="he-IL"/>
                <w14:ligatures w14:val="none"/>
              </w:rPr>
              <w:t xml:space="preserve"> </w:t>
            </w:r>
            <w:r w:rsidRPr="00B84925">
              <w:rPr>
                <w:rFonts w:asciiTheme="majorBidi" w:eastAsia="Times New Roman" w:hAnsiTheme="majorBidi" w:cstheme="majorBidi"/>
                <w:kern w:val="0"/>
                <w:sz w:val="20"/>
                <w:szCs w:val="20"/>
                <w:lang w:val="en-US" w:bidi="he-IL"/>
                <w14:ligatures w14:val="none"/>
              </w:rPr>
              <w:t>For the purpose of the Price Quote Form (Appendix C1), the “Leading International Experts” are included under the Senior Expert rate category.</w:t>
            </w:r>
          </w:p>
          <w:p w14:paraId="4305DA30"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 xml:space="preserve">This clarification is intended solely to assist in the interpretation of the Tender and </w:t>
            </w:r>
            <w:r w:rsidRPr="00B84925">
              <w:rPr>
                <w:rFonts w:asciiTheme="majorBidi" w:eastAsia="Times New Roman" w:hAnsiTheme="majorBidi" w:cstheme="majorBidi"/>
                <w:b/>
                <w:bCs/>
                <w:kern w:val="0"/>
                <w:sz w:val="20"/>
                <w:szCs w:val="20"/>
                <w:lang w:val="en-US" w:bidi="he-IL"/>
                <w14:ligatures w14:val="none"/>
              </w:rPr>
              <w:t>does not amend or modify any of its provisions.</w:t>
            </w:r>
          </w:p>
          <w:p w14:paraId="2911FE66" w14:textId="77777777" w:rsidR="00F3497B" w:rsidRPr="00B84925" w:rsidRDefault="00F3497B" w:rsidP="00B84925">
            <w:pPr>
              <w:pStyle w:val="NormalWeb"/>
              <w:rPr>
                <w:rFonts w:asciiTheme="majorBidi" w:hAnsiTheme="majorBidi" w:cstheme="majorBidi"/>
                <w:sz w:val="20"/>
                <w:szCs w:val="20"/>
              </w:rPr>
            </w:pPr>
          </w:p>
        </w:tc>
      </w:tr>
      <w:tr w:rsidR="00F3497B" w:rsidRPr="00B84925" w14:paraId="2E066FBE" w14:textId="77777777" w:rsidTr="00B84925">
        <w:trPr>
          <w:cantSplit/>
          <w:jc w:val="center"/>
        </w:trPr>
        <w:tc>
          <w:tcPr>
            <w:tcW w:w="421" w:type="dxa"/>
          </w:tcPr>
          <w:p w14:paraId="602B26E7" w14:textId="44EB595E" w:rsidR="00F3497B" w:rsidRPr="00B84925" w:rsidRDefault="00B84925" w:rsidP="00B84925">
            <w:pPr>
              <w:rPr>
                <w:rFonts w:asciiTheme="majorBidi" w:hAnsiTheme="majorBidi" w:cstheme="majorBidi"/>
                <w:sz w:val="20"/>
                <w:szCs w:val="20"/>
              </w:rPr>
            </w:pPr>
            <w:r>
              <w:rPr>
                <w:rFonts w:asciiTheme="majorBidi" w:hAnsiTheme="majorBidi" w:cstheme="majorBidi"/>
                <w:sz w:val="20"/>
                <w:szCs w:val="20"/>
              </w:rPr>
              <w:t>4</w:t>
            </w:r>
          </w:p>
        </w:tc>
        <w:tc>
          <w:tcPr>
            <w:tcW w:w="1842" w:type="dxa"/>
          </w:tcPr>
          <w:p w14:paraId="316EC936" w14:textId="37B712EE" w:rsidR="00F3497B" w:rsidRPr="00B84925" w:rsidRDefault="00F3497B" w:rsidP="00B84925">
            <w:pPr>
              <w:rPr>
                <w:rFonts w:asciiTheme="majorBidi" w:hAnsiTheme="majorBidi" w:cstheme="majorBidi"/>
                <w:sz w:val="20"/>
                <w:szCs w:val="20"/>
                <w:rtl/>
                <w:lang w:val="en-US"/>
              </w:rPr>
            </w:pPr>
            <w:r w:rsidRPr="00B84925">
              <w:rPr>
                <w:rFonts w:asciiTheme="majorBidi" w:hAnsiTheme="majorBidi" w:cstheme="majorBidi"/>
                <w:sz w:val="20"/>
                <w:szCs w:val="20"/>
              </w:rPr>
              <w:t>2.1</w:t>
            </w:r>
            <w:r w:rsidRPr="00B84925">
              <w:rPr>
                <w:rFonts w:asciiTheme="majorBidi" w:hAnsiTheme="majorBidi" w:cstheme="majorBidi"/>
                <w:sz w:val="20"/>
                <w:szCs w:val="20"/>
                <w:lang w:val="en-US" w:bidi="he-IL"/>
              </w:rPr>
              <w:t>.</w:t>
            </w:r>
            <w:r w:rsidRPr="00B84925">
              <w:rPr>
                <w:rFonts w:asciiTheme="majorBidi" w:hAnsiTheme="majorBidi" w:cstheme="majorBidi"/>
                <w:sz w:val="20"/>
                <w:szCs w:val="20"/>
                <w:rtl/>
                <w:lang w:val="en-US" w:bidi="he-IL"/>
              </w:rPr>
              <w:t>3</w:t>
            </w:r>
          </w:p>
        </w:tc>
        <w:tc>
          <w:tcPr>
            <w:tcW w:w="6379" w:type="dxa"/>
          </w:tcPr>
          <w:p w14:paraId="0229F676" w14:textId="7E2C6A7C" w:rsidR="00F3497B" w:rsidRPr="00B84925" w:rsidRDefault="00F3497B"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Can you clarify the number of years experience expected for Senior and Junior Experts. Do Junior experts require fewer years experience than Senior experts? If so, how many?</w:t>
            </w:r>
          </w:p>
        </w:tc>
        <w:tc>
          <w:tcPr>
            <w:tcW w:w="6746" w:type="dxa"/>
          </w:tcPr>
          <w:p w14:paraId="1E8A4A9D" w14:textId="123F042E"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b/>
                <w:bCs/>
                <w:kern w:val="0"/>
                <w:sz w:val="20"/>
                <w:szCs w:val="20"/>
                <w:u w:val="single"/>
                <w:lang w:val="en-US" w:bidi="he-IL"/>
                <w14:ligatures w14:val="none"/>
              </w:rPr>
              <w:t>Basket 1</w:t>
            </w:r>
            <w:r w:rsidRPr="00B84925">
              <w:rPr>
                <w:rFonts w:asciiTheme="majorBidi" w:eastAsia="Times New Roman" w:hAnsiTheme="majorBidi" w:cstheme="majorBidi"/>
                <w:kern w:val="0"/>
                <w:sz w:val="20"/>
                <w:szCs w:val="20"/>
                <w:lang w:val="en-US" w:bidi="he-IL"/>
                <w14:ligatures w14:val="none"/>
              </w:rPr>
              <w:t>: The Ministry clarifies that the requirement of “at least 7 years of supervision experience” refers specifically to Senior Experts.</w:t>
            </w:r>
          </w:p>
          <w:p w14:paraId="3A5D21D5"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Junior Experts are expected to possess relevant professional experience and technical qualifications appropriate to their supporting role within the project team, typically equivalent to a minimum of 3 years of relevant experience in their respective discipline.</w:t>
            </w:r>
          </w:p>
          <w:p w14:paraId="514104F7"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For the avoidance of doubt, this clarification does not lower the professional standard required under the Tender but rather specifies the intended differentiation between the two levels of expertise.</w:t>
            </w:r>
          </w:p>
          <w:p w14:paraId="4668608E"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This clarification is provided for interpretation purposes only and does not amend the Tender Documents.</w:t>
            </w:r>
          </w:p>
          <w:p w14:paraId="1EE0B82E"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F3497B" w:rsidRPr="00B84925" w14:paraId="7D19E923" w14:textId="77777777" w:rsidTr="00B84925">
        <w:trPr>
          <w:cantSplit/>
          <w:jc w:val="center"/>
        </w:trPr>
        <w:tc>
          <w:tcPr>
            <w:tcW w:w="421" w:type="dxa"/>
          </w:tcPr>
          <w:p w14:paraId="3F068961" w14:textId="13D03A6D" w:rsidR="00F3497B" w:rsidRPr="00B84925" w:rsidRDefault="00B84925" w:rsidP="00B84925">
            <w:pPr>
              <w:rPr>
                <w:rFonts w:asciiTheme="majorBidi" w:hAnsiTheme="majorBidi" w:cstheme="majorBidi"/>
                <w:sz w:val="20"/>
                <w:szCs w:val="20"/>
              </w:rPr>
            </w:pPr>
            <w:r>
              <w:rPr>
                <w:rFonts w:asciiTheme="majorBidi" w:hAnsiTheme="majorBidi" w:cstheme="majorBidi"/>
                <w:sz w:val="20"/>
                <w:szCs w:val="20"/>
              </w:rPr>
              <w:t>5</w:t>
            </w:r>
          </w:p>
        </w:tc>
        <w:tc>
          <w:tcPr>
            <w:tcW w:w="1842" w:type="dxa"/>
          </w:tcPr>
          <w:p w14:paraId="7D1F0874" w14:textId="46FA8075" w:rsidR="00F3497B" w:rsidRPr="00B84925" w:rsidRDefault="00F3497B" w:rsidP="00B84925">
            <w:pPr>
              <w:rPr>
                <w:rFonts w:asciiTheme="majorBidi" w:hAnsiTheme="majorBidi" w:cstheme="majorBidi"/>
                <w:sz w:val="20"/>
                <w:szCs w:val="20"/>
                <w:lang w:val="en-US"/>
              </w:rPr>
            </w:pPr>
            <w:r w:rsidRPr="00B84925">
              <w:rPr>
                <w:rFonts w:asciiTheme="majorBidi" w:hAnsiTheme="majorBidi" w:cstheme="majorBidi"/>
                <w:sz w:val="20"/>
                <w:szCs w:val="20"/>
              </w:rPr>
              <w:t>2.1</w:t>
            </w:r>
            <w:r w:rsidR="006A4442" w:rsidRPr="00B84925">
              <w:rPr>
                <w:rFonts w:asciiTheme="majorBidi" w:hAnsiTheme="majorBidi" w:cstheme="majorBidi"/>
                <w:sz w:val="20"/>
                <w:szCs w:val="20"/>
                <w:lang w:val="en-US" w:bidi="he-IL"/>
              </w:rPr>
              <w:t>(h)</w:t>
            </w:r>
          </w:p>
        </w:tc>
        <w:tc>
          <w:tcPr>
            <w:tcW w:w="6379" w:type="dxa"/>
          </w:tcPr>
          <w:p w14:paraId="2A943644" w14:textId="067AFFB4" w:rsidR="00F3497B" w:rsidRPr="00B84925" w:rsidRDefault="00F3497B"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Similar to Item A1.4, is it correct that the PM should assign team members required to travel to Israel within 5 business days, for MoE approval?</w:t>
            </w:r>
          </w:p>
        </w:tc>
        <w:tc>
          <w:tcPr>
            <w:tcW w:w="6746" w:type="dxa"/>
          </w:tcPr>
          <w:p w14:paraId="4E8EFA20" w14:textId="77777777" w:rsidR="006A4442" w:rsidRPr="00B84925" w:rsidRDefault="006A4442"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 xml:space="preserve">This section will be amended to read that consultants are required to make their best efforts to travel within five business days. </w:t>
            </w:r>
            <w:bookmarkStart w:id="0" w:name="_Hlk210129513"/>
            <w:r w:rsidRPr="00B84925">
              <w:rPr>
                <w:rFonts w:asciiTheme="majorBidi" w:eastAsia="Times New Roman" w:hAnsiTheme="majorBidi" w:cstheme="majorBidi"/>
                <w:kern w:val="0"/>
                <w:sz w:val="20"/>
                <w:szCs w:val="20"/>
                <w:lang w:val="en-US" w:bidi="he-IL"/>
                <w14:ligatures w14:val="none"/>
              </w:rPr>
              <w:t>In the event that the Bidder experiences significant difficulties in meeting this timetable, and submits a written request to that effectthe Ministry may approve a travel time of up to ten business days.</w:t>
            </w:r>
          </w:p>
          <w:bookmarkEnd w:id="0"/>
          <w:p w14:paraId="12F28661"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F3497B" w:rsidRPr="00B84925" w14:paraId="10F44962" w14:textId="77777777" w:rsidTr="00B84925">
        <w:trPr>
          <w:cantSplit/>
          <w:jc w:val="center"/>
        </w:trPr>
        <w:tc>
          <w:tcPr>
            <w:tcW w:w="421" w:type="dxa"/>
          </w:tcPr>
          <w:p w14:paraId="0C378AB7" w14:textId="365E21D1" w:rsidR="00F3497B" w:rsidRPr="00B84925" w:rsidRDefault="00B84925" w:rsidP="00B84925">
            <w:pPr>
              <w:rPr>
                <w:rFonts w:asciiTheme="majorBidi" w:hAnsiTheme="majorBidi" w:cstheme="majorBidi"/>
                <w:sz w:val="20"/>
                <w:szCs w:val="20"/>
              </w:rPr>
            </w:pPr>
            <w:r>
              <w:rPr>
                <w:rFonts w:asciiTheme="majorBidi" w:hAnsiTheme="majorBidi" w:cstheme="majorBidi"/>
                <w:sz w:val="20"/>
                <w:szCs w:val="20"/>
              </w:rPr>
              <w:lastRenderedPageBreak/>
              <w:t>6</w:t>
            </w:r>
          </w:p>
        </w:tc>
        <w:tc>
          <w:tcPr>
            <w:tcW w:w="1842" w:type="dxa"/>
          </w:tcPr>
          <w:p w14:paraId="38956E51" w14:textId="78D13051"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2.1</w:t>
            </w:r>
            <w:r w:rsidRPr="00B84925">
              <w:rPr>
                <w:rFonts w:asciiTheme="majorBidi" w:hAnsiTheme="majorBidi" w:cstheme="majorBidi"/>
                <w:sz w:val="20"/>
                <w:szCs w:val="20"/>
                <w:lang w:val="en-US" w:bidi="he-IL"/>
              </w:rPr>
              <w:t xml:space="preserve"> </w:t>
            </w:r>
            <w:r w:rsidRPr="00B84925">
              <w:rPr>
                <w:rFonts w:asciiTheme="majorBidi" w:hAnsiTheme="majorBidi" w:cstheme="majorBidi"/>
                <w:sz w:val="20"/>
                <w:szCs w:val="20"/>
              </w:rPr>
              <w:t xml:space="preserve"> pg.</w:t>
            </w:r>
            <w:r w:rsidRPr="00B84925">
              <w:rPr>
                <w:rFonts w:asciiTheme="majorBidi" w:hAnsiTheme="majorBidi" w:cstheme="majorBidi"/>
                <w:sz w:val="20"/>
                <w:szCs w:val="20"/>
                <w:rtl/>
                <w:lang w:bidi="he-IL"/>
              </w:rPr>
              <w:t>12</w:t>
            </w:r>
          </w:p>
        </w:tc>
        <w:tc>
          <w:tcPr>
            <w:tcW w:w="6379" w:type="dxa"/>
          </w:tcPr>
          <w:p w14:paraId="57B5FCC8" w14:textId="5CD667D1" w:rsidR="00F3497B" w:rsidRPr="00B84925" w:rsidRDefault="00F3497B"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Does Table 2 cover the Project Manager and leading experts only? And for senior and Junior experts a CV and certificate of education only is required.</w:t>
            </w:r>
          </w:p>
        </w:tc>
        <w:tc>
          <w:tcPr>
            <w:tcW w:w="6746" w:type="dxa"/>
          </w:tcPr>
          <w:p w14:paraId="31D951D9" w14:textId="1FEA84A0" w:rsidR="00F3497B" w:rsidRPr="00B84925" w:rsidRDefault="00F3497B" w:rsidP="00B84925">
            <w:pPr>
              <w:spacing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 xml:space="preserve">The Ministry clarifies that Table 2 applies to the Project Manager and all designated Senior Experts, including </w:t>
            </w:r>
            <w:r w:rsidR="006A4442" w:rsidRPr="00B84925">
              <w:rPr>
                <w:rFonts w:asciiTheme="majorBidi" w:eastAsia="Times New Roman" w:hAnsiTheme="majorBidi" w:cstheme="majorBidi"/>
                <w:kern w:val="0"/>
                <w:sz w:val="20"/>
                <w:szCs w:val="20"/>
                <w:lang w:val="en-US" w:bidi="he-IL"/>
                <w14:ligatures w14:val="none"/>
              </w:rPr>
              <w:t xml:space="preserve">(under Basket 1) </w:t>
            </w:r>
            <w:r w:rsidRPr="00B84925">
              <w:rPr>
                <w:rFonts w:asciiTheme="majorBidi" w:eastAsia="Times New Roman" w:hAnsiTheme="majorBidi" w:cstheme="majorBidi"/>
                <w:kern w:val="0"/>
                <w:sz w:val="20"/>
                <w:szCs w:val="20"/>
                <w:lang w:val="en-US" w:bidi="he-IL"/>
                <w14:ligatures w14:val="none"/>
              </w:rPr>
              <w:t>those identified as Leading International Experts.</w:t>
            </w:r>
          </w:p>
          <w:p w14:paraId="7925C8D2"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Accordingly, for each of these positions, the Bidder shall submit:</w:t>
            </w:r>
            <w:r w:rsidRPr="00B84925">
              <w:rPr>
                <w:rFonts w:asciiTheme="majorBidi" w:eastAsia="Times New Roman" w:hAnsiTheme="majorBidi" w:cstheme="majorBidi"/>
                <w:kern w:val="0"/>
                <w:sz w:val="20"/>
                <w:szCs w:val="20"/>
                <w:lang w:val="en-US" w:bidi="he-IL"/>
                <w14:ligatures w14:val="none"/>
              </w:rPr>
              <w:br/>
              <w:t>– a detailed CV,</w:t>
            </w:r>
            <w:r w:rsidRPr="00B84925">
              <w:rPr>
                <w:rFonts w:asciiTheme="majorBidi" w:eastAsia="Times New Roman" w:hAnsiTheme="majorBidi" w:cstheme="majorBidi"/>
                <w:kern w:val="0"/>
                <w:sz w:val="20"/>
                <w:szCs w:val="20"/>
                <w:lang w:val="en-US" w:bidi="he-IL"/>
                <w14:ligatures w14:val="none"/>
              </w:rPr>
              <w:br/>
              <w:t>– certificates indicating education,</w:t>
            </w:r>
            <w:r w:rsidRPr="00B84925">
              <w:rPr>
                <w:rFonts w:asciiTheme="majorBidi" w:eastAsia="Times New Roman" w:hAnsiTheme="majorBidi" w:cstheme="majorBidi"/>
                <w:kern w:val="0"/>
                <w:sz w:val="20"/>
                <w:szCs w:val="20"/>
                <w:lang w:val="en-US" w:bidi="he-IL"/>
                <w14:ligatures w14:val="none"/>
              </w:rPr>
              <w:br/>
              <w:t>– relevant documentation demonstrating experience, and</w:t>
            </w:r>
            <w:r w:rsidRPr="00B84925">
              <w:rPr>
                <w:rFonts w:asciiTheme="majorBidi" w:eastAsia="Times New Roman" w:hAnsiTheme="majorBidi" w:cstheme="majorBidi"/>
                <w:kern w:val="0"/>
                <w:sz w:val="20"/>
                <w:szCs w:val="20"/>
                <w:lang w:val="en-US" w:bidi="he-IL"/>
                <w14:ligatures w14:val="none"/>
              </w:rPr>
              <w:br/>
              <w:t>– a completed Table 2 summarizing previous experience, as specified in the Tender.</w:t>
            </w:r>
          </w:p>
          <w:p w14:paraId="39961C12"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For Junior Experts, submission of a CV and education certificates only shall suffice; completion of Table 2 or additional supporting documentation is not required.</w:t>
            </w:r>
          </w:p>
          <w:p w14:paraId="090E7A58" w14:textId="76DEAC38" w:rsidR="00404C95" w:rsidRPr="00B84925" w:rsidRDefault="00404C9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The Ministry reserves the right to request additional information with regard to any team member's experience and/or education, and/or to request that this information or part thereof be signed and verified by an attorney.</w:t>
            </w:r>
          </w:p>
          <w:p w14:paraId="2CC1D219" w14:textId="38615534"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For the avoidance of doubt, this clarification is provided for interpretation purposes only and does not amend the Tender Documents</w:t>
            </w:r>
          </w:p>
          <w:p w14:paraId="7BAF58F2" w14:textId="77777777" w:rsidR="00F3497B" w:rsidRPr="00B84925" w:rsidRDefault="00F3497B"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F3497B" w:rsidRPr="00B84925" w14:paraId="3699215B" w14:textId="77777777" w:rsidTr="00B84925">
        <w:trPr>
          <w:cantSplit/>
          <w:jc w:val="center"/>
        </w:trPr>
        <w:tc>
          <w:tcPr>
            <w:tcW w:w="421" w:type="dxa"/>
          </w:tcPr>
          <w:p w14:paraId="7CD91A4B" w14:textId="54442DEF" w:rsidR="00F3497B" w:rsidRPr="00B84925" w:rsidRDefault="00B84925" w:rsidP="00B84925">
            <w:pPr>
              <w:rPr>
                <w:rFonts w:asciiTheme="majorBidi" w:hAnsiTheme="majorBidi" w:cstheme="majorBidi"/>
                <w:sz w:val="20"/>
                <w:szCs w:val="20"/>
              </w:rPr>
            </w:pPr>
            <w:r>
              <w:rPr>
                <w:rFonts w:asciiTheme="majorBidi" w:hAnsiTheme="majorBidi" w:cstheme="majorBidi"/>
                <w:sz w:val="20"/>
                <w:szCs w:val="20"/>
              </w:rPr>
              <w:t>7</w:t>
            </w:r>
          </w:p>
        </w:tc>
        <w:tc>
          <w:tcPr>
            <w:tcW w:w="1842" w:type="dxa"/>
          </w:tcPr>
          <w:p w14:paraId="26D77E2E" w14:textId="49D1488D"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2.</w:t>
            </w:r>
            <w:r w:rsidRPr="00B84925">
              <w:rPr>
                <w:rFonts w:asciiTheme="majorBidi" w:hAnsiTheme="majorBidi" w:cstheme="majorBidi"/>
                <w:strike/>
                <w:sz w:val="20"/>
                <w:szCs w:val="20"/>
              </w:rPr>
              <w:t>1</w:t>
            </w:r>
            <w:r w:rsidRPr="00B84925">
              <w:rPr>
                <w:rFonts w:asciiTheme="majorBidi" w:hAnsiTheme="majorBidi" w:cstheme="majorBidi"/>
                <w:sz w:val="20"/>
                <w:szCs w:val="20"/>
              </w:rPr>
              <w:t>2</w:t>
            </w:r>
            <w:r w:rsidRPr="00B84925">
              <w:rPr>
                <w:rFonts w:asciiTheme="majorBidi" w:hAnsiTheme="majorBidi" w:cstheme="majorBidi"/>
                <w:sz w:val="20"/>
                <w:szCs w:val="20"/>
                <w:lang w:val="en-US" w:bidi="he-IL"/>
              </w:rPr>
              <w:t xml:space="preserve"> </w:t>
            </w:r>
            <w:r w:rsidRPr="00B84925">
              <w:rPr>
                <w:rFonts w:asciiTheme="majorBidi" w:hAnsiTheme="majorBidi" w:cstheme="majorBidi"/>
                <w:sz w:val="20"/>
                <w:szCs w:val="20"/>
              </w:rPr>
              <w:t xml:space="preserve"> pg.</w:t>
            </w:r>
            <w:r w:rsidRPr="00B84925">
              <w:rPr>
                <w:rFonts w:asciiTheme="majorBidi" w:hAnsiTheme="majorBidi" w:cstheme="majorBidi"/>
                <w:sz w:val="20"/>
                <w:szCs w:val="20"/>
                <w:rtl/>
                <w:lang w:bidi="he-IL"/>
              </w:rPr>
              <w:t>12</w:t>
            </w:r>
          </w:p>
        </w:tc>
        <w:tc>
          <w:tcPr>
            <w:tcW w:w="6379" w:type="dxa"/>
          </w:tcPr>
          <w:p w14:paraId="34107651" w14:textId="7E7A313C" w:rsidR="00F3497B" w:rsidRPr="00B84925" w:rsidRDefault="00F3497B"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Could you clarify this clause - in a different country to what?</w:t>
            </w:r>
          </w:p>
        </w:tc>
        <w:tc>
          <w:tcPr>
            <w:tcW w:w="6746" w:type="dxa"/>
          </w:tcPr>
          <w:p w14:paraId="5B292599" w14:textId="34FF6773" w:rsidR="00F3497B" w:rsidRPr="00B84925" w:rsidRDefault="00404C95" w:rsidP="00B84925">
            <w:pPr>
              <w:spacing w:after="200" w:line="276" w:lineRule="auto"/>
              <w:rPr>
                <w:rFonts w:ascii="Times New Roman" w:hAnsi="Times New Roman" w:cs="Times New Roman"/>
                <w:sz w:val="20"/>
                <w:szCs w:val="20"/>
              </w:rPr>
            </w:pPr>
            <w:r w:rsidRPr="00B84925">
              <w:rPr>
                <w:rFonts w:asciiTheme="majorBidi" w:eastAsia="Times New Roman" w:hAnsiTheme="majorBidi" w:cstheme="majorBidi"/>
                <w:kern w:val="0"/>
                <w:sz w:val="20"/>
                <w:szCs w:val="20"/>
                <w:lang w:val="en-US" w:bidi="he-IL"/>
                <w14:ligatures w14:val="none"/>
              </w:rPr>
              <w:t xml:space="preserve">This section should be read to mean that the requirement is for a minimum of three clients, whose ultimate parent companies are headquartered in three different countries. For example, a Bidder meeting this qualification is one that has conducted the requisite number of projects with the requisite budget for clients whose </w:t>
            </w:r>
            <w:r w:rsidR="002F2EA4" w:rsidRPr="00B84925">
              <w:rPr>
                <w:rFonts w:asciiTheme="majorBidi" w:eastAsia="Times New Roman" w:hAnsiTheme="majorBidi" w:cstheme="majorBidi"/>
                <w:kern w:val="0"/>
                <w:sz w:val="20"/>
                <w:szCs w:val="20"/>
                <w:lang w:val="en-US" w:bidi="he-IL"/>
                <w14:ligatures w14:val="none"/>
              </w:rPr>
              <w:t xml:space="preserve">ultimate </w:t>
            </w:r>
            <w:r w:rsidRPr="00B84925">
              <w:rPr>
                <w:rFonts w:asciiTheme="majorBidi" w:eastAsia="Times New Roman" w:hAnsiTheme="majorBidi" w:cstheme="majorBidi"/>
                <w:kern w:val="0"/>
                <w:sz w:val="20"/>
                <w:szCs w:val="20"/>
                <w:lang w:val="en-US" w:bidi="he-IL"/>
                <w14:ligatures w14:val="none"/>
              </w:rPr>
              <w:t>parent companies are headquartered in the United States, United Kingdom and the Netherlands.</w:t>
            </w:r>
          </w:p>
          <w:p w14:paraId="7697BF77" w14:textId="1D90E836" w:rsidR="00F3497B" w:rsidRPr="00B84925" w:rsidRDefault="00F3497B" w:rsidP="00B84925">
            <w:pPr>
              <w:spacing w:beforeAutospacing="1" w:after="100" w:afterAutospacing="1" w:line="240" w:lineRule="auto"/>
              <w:rPr>
                <w:rFonts w:asciiTheme="majorBidi" w:eastAsia="Times New Roman" w:hAnsiTheme="majorBidi" w:cstheme="majorBidi"/>
                <w:kern w:val="0"/>
                <w:sz w:val="20"/>
                <w:szCs w:val="20"/>
                <w:lang w:bidi="he-IL"/>
                <w14:ligatures w14:val="none"/>
              </w:rPr>
            </w:pPr>
          </w:p>
        </w:tc>
      </w:tr>
      <w:tr w:rsidR="00F3497B" w:rsidRPr="00B84925" w14:paraId="6AACE534" w14:textId="77777777" w:rsidTr="00B84925">
        <w:trPr>
          <w:cantSplit/>
          <w:jc w:val="center"/>
        </w:trPr>
        <w:tc>
          <w:tcPr>
            <w:tcW w:w="421" w:type="dxa"/>
          </w:tcPr>
          <w:p w14:paraId="3DF57F4E" w14:textId="56A30FF3" w:rsidR="00F3497B" w:rsidRPr="00B84925" w:rsidRDefault="00B84925" w:rsidP="00B84925">
            <w:pPr>
              <w:rPr>
                <w:rFonts w:asciiTheme="majorBidi" w:hAnsiTheme="majorBidi" w:cstheme="majorBidi"/>
                <w:sz w:val="20"/>
                <w:szCs w:val="20"/>
              </w:rPr>
            </w:pPr>
            <w:r>
              <w:rPr>
                <w:rFonts w:asciiTheme="majorBidi" w:hAnsiTheme="majorBidi" w:cstheme="majorBidi"/>
                <w:sz w:val="20"/>
                <w:szCs w:val="20"/>
              </w:rPr>
              <w:lastRenderedPageBreak/>
              <w:t>8</w:t>
            </w:r>
          </w:p>
        </w:tc>
        <w:tc>
          <w:tcPr>
            <w:tcW w:w="1842" w:type="dxa"/>
          </w:tcPr>
          <w:p w14:paraId="05EF04D9" w14:textId="2FD29D9E" w:rsidR="00F3497B" w:rsidRPr="00B84925" w:rsidRDefault="00F3497B" w:rsidP="00B84925">
            <w:pPr>
              <w:rPr>
                <w:rFonts w:asciiTheme="majorBidi" w:hAnsiTheme="majorBidi" w:cstheme="majorBidi"/>
                <w:sz w:val="20"/>
                <w:szCs w:val="20"/>
              </w:rPr>
            </w:pPr>
            <w:r w:rsidRPr="00B84925">
              <w:rPr>
                <w:rFonts w:asciiTheme="majorBidi" w:hAnsiTheme="majorBidi" w:cstheme="majorBidi"/>
                <w:sz w:val="20"/>
                <w:szCs w:val="20"/>
              </w:rPr>
              <w:t>2.</w:t>
            </w:r>
            <w:r w:rsidRPr="00B84925">
              <w:rPr>
                <w:rFonts w:asciiTheme="majorBidi" w:hAnsiTheme="majorBidi" w:cstheme="majorBidi"/>
                <w:sz w:val="20"/>
                <w:szCs w:val="20"/>
                <w:rtl/>
                <w:lang w:bidi="he-IL"/>
              </w:rPr>
              <w:t>2</w:t>
            </w:r>
            <w:r w:rsidRPr="00B84925">
              <w:rPr>
                <w:rFonts w:asciiTheme="majorBidi" w:hAnsiTheme="majorBidi" w:cstheme="majorBidi"/>
                <w:sz w:val="20"/>
                <w:szCs w:val="20"/>
                <w:lang w:val="en-US" w:bidi="he-IL"/>
              </w:rPr>
              <w:t xml:space="preserve"> </w:t>
            </w:r>
            <w:r w:rsidRPr="00B84925">
              <w:rPr>
                <w:rFonts w:asciiTheme="majorBidi" w:hAnsiTheme="majorBidi" w:cstheme="majorBidi"/>
                <w:sz w:val="20"/>
                <w:szCs w:val="20"/>
              </w:rPr>
              <w:t xml:space="preserve"> pg.</w:t>
            </w:r>
            <w:r w:rsidRPr="00B84925">
              <w:rPr>
                <w:rFonts w:asciiTheme="majorBidi" w:hAnsiTheme="majorBidi" w:cstheme="majorBidi"/>
                <w:sz w:val="20"/>
                <w:szCs w:val="20"/>
                <w:rtl/>
                <w:lang w:bidi="he-IL"/>
              </w:rPr>
              <w:t>14</w:t>
            </w:r>
          </w:p>
        </w:tc>
        <w:tc>
          <w:tcPr>
            <w:tcW w:w="6379" w:type="dxa"/>
          </w:tcPr>
          <w:p w14:paraId="57CF62CD" w14:textId="77777777" w:rsidR="00F3497B" w:rsidRPr="00B84925" w:rsidRDefault="00F3497B"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There is a discrepancy between the two baskets here - Basket 1 requires consulting services for Government ministries or</w:t>
            </w:r>
            <w:r w:rsidRPr="00B84925">
              <w:rPr>
                <w:rFonts w:asciiTheme="majorBidi" w:eastAsia="Times New Roman" w:hAnsiTheme="majorBidi" w:cstheme="majorBidi"/>
                <w:sz w:val="20"/>
                <w:szCs w:val="20"/>
                <w:u w:val="single"/>
                <w:lang w:eastAsia="en-GB"/>
              </w:rPr>
              <w:t xml:space="preserve"> listed oil and gas</w:t>
            </w:r>
            <w:r w:rsidRPr="00B84925">
              <w:rPr>
                <w:rFonts w:asciiTheme="majorBidi" w:eastAsia="Times New Roman" w:hAnsiTheme="majorBidi" w:cstheme="majorBidi"/>
                <w:sz w:val="20"/>
                <w:szCs w:val="20"/>
                <w:lang w:eastAsia="en-GB"/>
              </w:rPr>
              <w:t xml:space="preserve"> companies whose annual revenues exceed USD 50 Billion. Basket 2 requires the companies to be listed in the top 50 of the Energy Intelligence Top 100 or similar. The majority of companies in the top 50 are either not involved in oil and gas exploration/production/operations (instead they are supply/pipeline/refining/downstream etc) or do not externally audit their reserves/resources, so projects for these companies would not be related to the scope of the ITT Basket 2. </w:t>
            </w:r>
          </w:p>
          <w:p w14:paraId="3D99B91F" w14:textId="4A0E4364" w:rsidR="00F3497B" w:rsidRPr="00B84925" w:rsidRDefault="00F3497B"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 xml:space="preserve">Is it the size of the project that is key? or the size of the company? since we note mid-sized E&amp;P companies not listed in the top 50, still carry out projects or are partners in projects meeting the value required in the ITT. </w:t>
            </w:r>
            <w:r w:rsidRPr="00B84925">
              <w:rPr>
                <w:rFonts w:asciiTheme="majorBidi" w:eastAsia="Times New Roman" w:hAnsiTheme="majorBidi" w:cstheme="majorBidi"/>
                <w:sz w:val="20"/>
                <w:szCs w:val="20"/>
                <w:lang w:eastAsia="en-GB"/>
              </w:rPr>
              <w:br/>
              <w:t>Can the description used for Basket 1 (Item 2.1.f., page 9) be used for Basket 2 item 2.2.g (Page 14) to be consistent?</w:t>
            </w:r>
          </w:p>
        </w:tc>
        <w:tc>
          <w:tcPr>
            <w:tcW w:w="6746" w:type="dxa"/>
          </w:tcPr>
          <w:p w14:paraId="4D5FAE41" w14:textId="47C476FF" w:rsidR="00F3497B" w:rsidRPr="00B84925" w:rsidRDefault="002F2EA4" w:rsidP="00B84925">
            <w:pPr>
              <w:spacing w:beforeAutospacing="1" w:after="100" w:afterAutospacing="1" w:line="240" w:lineRule="auto"/>
              <w:rPr>
                <w:rFonts w:asciiTheme="majorBidi" w:eastAsia="Times New Roman" w:hAnsiTheme="majorBidi" w:cstheme="majorBidi"/>
                <w:kern w:val="0"/>
                <w:sz w:val="20"/>
                <w:szCs w:val="20"/>
                <w:rtl/>
                <w:lang w:val="en-US" w:bidi="he-IL"/>
                <w14:ligatures w14:val="none"/>
              </w:rPr>
            </w:pPr>
            <w:r w:rsidRPr="00B84925">
              <w:rPr>
                <w:rFonts w:asciiTheme="majorBidi" w:eastAsia="Times New Roman" w:hAnsiTheme="majorBidi" w:cstheme="majorBidi"/>
                <w:kern w:val="0"/>
                <w:sz w:val="20"/>
                <w:szCs w:val="20"/>
                <w:lang w:val="en-US" w:bidi="he-IL"/>
                <w14:ligatures w14:val="none"/>
              </w:rPr>
              <w:t xml:space="preserve">The professional requirements differ between the Baskets. </w:t>
            </w:r>
            <w:r w:rsidR="00F3497B" w:rsidRPr="00B84925">
              <w:rPr>
                <w:rFonts w:asciiTheme="majorBidi" w:eastAsia="Times New Roman" w:hAnsiTheme="majorBidi" w:cstheme="majorBidi"/>
                <w:kern w:val="0"/>
                <w:sz w:val="20"/>
                <w:szCs w:val="20"/>
                <w:lang w:val="en-US" w:bidi="he-IL"/>
                <w14:ligatures w14:val="none"/>
              </w:rPr>
              <w:t>However</w:t>
            </w:r>
            <w:r w:rsidRPr="00B84925">
              <w:rPr>
                <w:rFonts w:asciiTheme="majorBidi" w:eastAsia="Times New Roman" w:hAnsiTheme="majorBidi" w:cstheme="majorBidi"/>
                <w:kern w:val="0"/>
                <w:sz w:val="20"/>
                <w:szCs w:val="20"/>
                <w:lang w:val="en-US" w:bidi="he-IL"/>
                <w14:ligatures w14:val="none"/>
              </w:rPr>
              <w:t>, changes were made to Sections 2.2 and 8.2 (Item 4) in order to accommodate some of the concerns</w:t>
            </w:r>
            <w:r w:rsidR="00F3497B" w:rsidRPr="00B84925">
              <w:rPr>
                <w:rFonts w:asciiTheme="majorBidi" w:eastAsia="Times New Roman" w:hAnsiTheme="majorBidi" w:cstheme="majorBidi"/>
                <w:kern w:val="0"/>
                <w:sz w:val="20"/>
                <w:szCs w:val="20"/>
                <w:lang w:val="en-US" w:bidi="he-IL"/>
                <w14:ligatures w14:val="none"/>
              </w:rPr>
              <w:t>.</w:t>
            </w:r>
          </w:p>
        </w:tc>
      </w:tr>
      <w:tr w:rsidR="00B84925" w:rsidRPr="00B84925" w14:paraId="573E3E90" w14:textId="77777777" w:rsidTr="00B84925">
        <w:trPr>
          <w:cantSplit/>
          <w:jc w:val="center"/>
        </w:trPr>
        <w:tc>
          <w:tcPr>
            <w:tcW w:w="421" w:type="dxa"/>
          </w:tcPr>
          <w:p w14:paraId="2178861C" w14:textId="48A7CD38"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9</w:t>
            </w:r>
          </w:p>
        </w:tc>
        <w:tc>
          <w:tcPr>
            <w:tcW w:w="1842" w:type="dxa"/>
          </w:tcPr>
          <w:p w14:paraId="27BDB764" w14:textId="0087FB81"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2.2(g)</w:t>
            </w:r>
          </w:p>
        </w:tc>
        <w:tc>
          <w:tcPr>
            <w:tcW w:w="6379" w:type="dxa"/>
          </w:tcPr>
          <w:p w14:paraId="7362FA99" w14:textId="77777777" w:rsidR="00B84925" w:rsidRPr="00B84925" w:rsidRDefault="00B84925" w:rsidP="00B84925">
            <w:pPr>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it says the budget for "at least 10 E&amp;P projects, each with a total budget of at least $2 billion" meaning each project is 200 million USD?</w:t>
            </w:r>
          </w:p>
          <w:p w14:paraId="551E8C16" w14:textId="77777777" w:rsidR="00B84925" w:rsidRPr="00B84925" w:rsidRDefault="00B84925" w:rsidP="00B84925">
            <w:pPr>
              <w:spacing w:after="200" w:line="276" w:lineRule="auto"/>
              <w:rPr>
                <w:rFonts w:asciiTheme="majorBidi" w:eastAsia="Times New Roman" w:hAnsiTheme="majorBidi" w:cstheme="majorBidi"/>
                <w:sz w:val="20"/>
                <w:szCs w:val="20"/>
              </w:rPr>
            </w:pPr>
          </w:p>
          <w:p w14:paraId="34313B4A" w14:textId="77777777" w:rsidR="00B84925" w:rsidRPr="00B84925" w:rsidRDefault="00B84925" w:rsidP="00B84925">
            <w:pPr>
              <w:spacing w:after="200" w:line="276" w:lineRule="auto"/>
              <w:rPr>
                <w:rFonts w:asciiTheme="majorBidi" w:eastAsia="Times New Roman" w:hAnsiTheme="majorBidi" w:cstheme="majorBidi"/>
                <w:sz w:val="20"/>
                <w:szCs w:val="20"/>
                <w:lang w:eastAsia="en-GB"/>
              </w:rPr>
            </w:pPr>
          </w:p>
        </w:tc>
        <w:tc>
          <w:tcPr>
            <w:tcW w:w="6746" w:type="dxa"/>
          </w:tcPr>
          <w:p w14:paraId="043C33A8" w14:textId="149665B6" w:rsidR="00B84925" w:rsidRPr="00B84925" w:rsidRDefault="00B84925" w:rsidP="00B84925">
            <w:pPr>
              <w:rPr>
                <w:rFonts w:asciiTheme="majorBidi" w:eastAsia="Times New Roman" w:hAnsiTheme="majorBidi" w:cstheme="majorBidi"/>
                <w:sz w:val="20"/>
                <w:szCs w:val="20"/>
              </w:rPr>
            </w:pPr>
          </w:p>
          <w:p w14:paraId="77BADE91" w14:textId="06A2B48A" w:rsidR="00B84925" w:rsidRPr="00B84925" w:rsidRDefault="00B84925" w:rsidP="00B84925">
            <w:pPr>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 xml:space="preserve">It means that each exploration and production project should have the budget (exploration and production budget) of not less than 2 Bln US$ </w:t>
            </w:r>
            <w:r w:rsidRPr="00B84925">
              <w:rPr>
                <w:rFonts w:asciiTheme="majorBidi" w:eastAsia="Times New Roman" w:hAnsiTheme="majorBidi" w:cstheme="majorBidi"/>
                <w:sz w:val="20"/>
                <w:szCs w:val="20"/>
                <w:u w:val="single"/>
              </w:rPr>
              <w:t>per project</w:t>
            </w:r>
            <w:r w:rsidRPr="00B84925">
              <w:rPr>
                <w:rFonts w:asciiTheme="majorBidi" w:eastAsia="Times New Roman" w:hAnsiTheme="majorBidi" w:cstheme="majorBidi"/>
                <w:sz w:val="20"/>
                <w:szCs w:val="20"/>
              </w:rPr>
              <w:t>.</w:t>
            </w:r>
          </w:p>
          <w:p w14:paraId="56F94C46" w14:textId="77777777" w:rsidR="00B84925" w:rsidRPr="00B84925" w:rsidRDefault="00B84925" w:rsidP="00B84925">
            <w:pPr>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Note: The numbers of E&amp;P project of the size at least 2 Bln US$ in which the Bidder participated as the consultant on the service, described in Appendix A2, was corrected from 10 to 5.</w:t>
            </w:r>
          </w:p>
          <w:p w14:paraId="68C8BB00" w14:textId="77777777" w:rsidR="00B84925" w:rsidRPr="00B84925" w:rsidRDefault="00B84925" w:rsidP="00B84925">
            <w:pPr>
              <w:rPr>
                <w:rFonts w:asciiTheme="majorBidi" w:eastAsia="Times New Roman" w:hAnsiTheme="majorBidi" w:cstheme="majorBidi"/>
                <w:sz w:val="20"/>
                <w:szCs w:val="20"/>
              </w:rPr>
            </w:pPr>
          </w:p>
          <w:p w14:paraId="5FBC560E" w14:textId="77777777" w:rsidR="00B84925" w:rsidRPr="00B84925" w:rsidRDefault="00B84925" w:rsidP="00B84925">
            <w:pPr>
              <w:spacing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B84925" w:rsidRPr="00B84925" w14:paraId="0958565F" w14:textId="77777777" w:rsidTr="00B84925">
        <w:trPr>
          <w:cantSplit/>
          <w:jc w:val="center"/>
        </w:trPr>
        <w:tc>
          <w:tcPr>
            <w:tcW w:w="421" w:type="dxa"/>
          </w:tcPr>
          <w:p w14:paraId="53CE8E41" w14:textId="7C3A7F2C"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lastRenderedPageBreak/>
              <w:t>10</w:t>
            </w:r>
          </w:p>
        </w:tc>
        <w:tc>
          <w:tcPr>
            <w:tcW w:w="1842" w:type="dxa"/>
          </w:tcPr>
          <w:p w14:paraId="3634303A" w14:textId="0D82B214"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6(b)</w:t>
            </w:r>
          </w:p>
        </w:tc>
        <w:tc>
          <w:tcPr>
            <w:tcW w:w="6379" w:type="dxa"/>
          </w:tcPr>
          <w:p w14:paraId="1971C8FF"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br/>
              <w:t xml:space="preserve">The Ministry clarifies that there is </w:t>
            </w:r>
            <w:r w:rsidRPr="00B84925">
              <w:rPr>
                <w:rStyle w:val="a5"/>
                <w:rFonts w:asciiTheme="majorBidi" w:eastAsiaTheme="majorEastAsia" w:hAnsiTheme="majorBidi" w:cstheme="majorBidi"/>
                <w:sz w:val="20"/>
                <w:szCs w:val="20"/>
              </w:rPr>
              <w:t>no separate Appendix L</w:t>
            </w:r>
            <w:r w:rsidRPr="00B84925">
              <w:rPr>
                <w:rFonts w:asciiTheme="majorBidi" w:hAnsiTheme="majorBidi" w:cstheme="majorBidi"/>
                <w:sz w:val="20"/>
                <w:szCs w:val="20"/>
              </w:rPr>
              <w:t xml:space="preserve"> attached to the Tender Documents.</w:t>
            </w:r>
            <w:r w:rsidRPr="00B84925">
              <w:rPr>
                <w:rFonts w:asciiTheme="majorBidi" w:hAnsiTheme="majorBidi" w:cstheme="majorBidi"/>
                <w:sz w:val="20"/>
                <w:szCs w:val="20"/>
              </w:rPr>
              <w:br/>
              <w:t xml:space="preserve">The reference to “Appendix L (the Insurance Certificate)” in Section 6(b) was included in error and should be understood as referring to the insurance requirements stipulated in </w:t>
            </w:r>
            <w:r w:rsidRPr="00B84925">
              <w:rPr>
                <w:rStyle w:val="a5"/>
                <w:rFonts w:asciiTheme="majorBidi" w:eastAsiaTheme="majorEastAsia" w:hAnsiTheme="majorBidi" w:cstheme="majorBidi"/>
                <w:sz w:val="20"/>
                <w:szCs w:val="20"/>
              </w:rPr>
              <w:t>Section 9 of Appendix B (the Agreement)</w:t>
            </w:r>
            <w:r w:rsidRPr="00B84925">
              <w:rPr>
                <w:rFonts w:asciiTheme="majorBidi" w:hAnsiTheme="majorBidi" w:cstheme="majorBidi"/>
                <w:sz w:val="20"/>
                <w:szCs w:val="20"/>
              </w:rPr>
              <w:t>.</w:t>
            </w:r>
          </w:p>
          <w:p w14:paraId="3D38A8AB"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Accordingly, Bidders are not required to submit any additional document entitled “Appendix L” with their Bid.</w:t>
            </w:r>
            <w:r w:rsidRPr="00B84925">
              <w:rPr>
                <w:rFonts w:asciiTheme="majorBidi" w:hAnsiTheme="majorBidi" w:cstheme="majorBidi"/>
                <w:sz w:val="20"/>
                <w:szCs w:val="20"/>
              </w:rPr>
              <w:br/>
              <w:t>All insurance obligations remain as defined under Appendix B of the Tender.</w:t>
            </w:r>
          </w:p>
          <w:p w14:paraId="41AB6D48"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This clarification is provided solely for interpretive purposes and does not amend or modify the Tender Documents.</w:t>
            </w:r>
          </w:p>
          <w:p w14:paraId="0B2AE808" w14:textId="77777777" w:rsidR="00B84925" w:rsidRPr="00B84925" w:rsidRDefault="00B84925" w:rsidP="00B84925">
            <w:pPr>
              <w:rPr>
                <w:rFonts w:asciiTheme="majorBidi" w:eastAsia="Times New Roman" w:hAnsiTheme="majorBidi" w:cstheme="majorBidi"/>
                <w:sz w:val="20"/>
                <w:szCs w:val="20"/>
                <w:lang w:eastAsia="en-GB"/>
              </w:rPr>
            </w:pPr>
          </w:p>
        </w:tc>
        <w:tc>
          <w:tcPr>
            <w:tcW w:w="6746" w:type="dxa"/>
          </w:tcPr>
          <w:p w14:paraId="08142EE9" w14:textId="688C2FBB" w:rsidR="00B84925" w:rsidRPr="00B84925" w:rsidRDefault="00B84925" w:rsidP="00B84925">
            <w:pPr>
              <w:spacing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sz w:val="20"/>
                <w:szCs w:val="20"/>
              </w:rPr>
              <w:t>Refers to Appendix L, but there is no appendix L included in the document</w:t>
            </w:r>
          </w:p>
        </w:tc>
      </w:tr>
      <w:tr w:rsidR="00B84925" w:rsidRPr="00B84925" w14:paraId="4D6A366D" w14:textId="77777777" w:rsidTr="00B84925">
        <w:trPr>
          <w:cantSplit/>
          <w:jc w:val="center"/>
        </w:trPr>
        <w:tc>
          <w:tcPr>
            <w:tcW w:w="421" w:type="dxa"/>
          </w:tcPr>
          <w:p w14:paraId="0385ED35" w14:textId="52060E1E"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11</w:t>
            </w:r>
          </w:p>
        </w:tc>
        <w:tc>
          <w:tcPr>
            <w:tcW w:w="1842" w:type="dxa"/>
          </w:tcPr>
          <w:p w14:paraId="43E9BD0E" w14:textId="45052D5D"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6(d)</w:t>
            </w:r>
          </w:p>
        </w:tc>
        <w:tc>
          <w:tcPr>
            <w:tcW w:w="6379" w:type="dxa"/>
          </w:tcPr>
          <w:p w14:paraId="7906A1C4" w14:textId="78295BAF" w:rsidR="00B84925" w:rsidRPr="00B84925" w:rsidRDefault="00B84925" w:rsidP="00B84925">
            <w:pPr>
              <w:pStyle w:val="NormalWeb"/>
              <w:rPr>
                <w:rFonts w:asciiTheme="majorBidi" w:hAnsiTheme="majorBidi" w:cstheme="majorBidi"/>
                <w:sz w:val="20"/>
                <w:szCs w:val="20"/>
              </w:rPr>
            </w:pPr>
            <w:r w:rsidRPr="00B84925">
              <w:rPr>
                <w:rFonts w:asciiTheme="majorBidi" w:eastAsia="Times New Roman" w:hAnsiTheme="majorBidi" w:cstheme="majorBidi"/>
                <w:sz w:val="20"/>
                <w:szCs w:val="20"/>
              </w:rPr>
              <w:t>Submission date is stated as November 16, 2025 – please confirm that the submission date is actually December 16, 2025 as per the schedule on page ¾</w:t>
            </w:r>
          </w:p>
        </w:tc>
        <w:tc>
          <w:tcPr>
            <w:tcW w:w="6746" w:type="dxa"/>
          </w:tcPr>
          <w:p w14:paraId="525B831E"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br/>
              <w:t>The Ministry clarifies that the official</w:t>
            </w:r>
            <w:r w:rsidRPr="00B84925">
              <w:rPr>
                <w:rFonts w:asciiTheme="majorBidi" w:hAnsiTheme="majorBidi" w:cstheme="majorBidi"/>
                <w:b/>
                <w:bCs/>
                <w:sz w:val="20"/>
                <w:szCs w:val="20"/>
              </w:rPr>
              <w:t xml:space="preserve"> </w:t>
            </w:r>
            <w:r w:rsidRPr="00B84925">
              <w:rPr>
                <w:rStyle w:val="a5"/>
                <w:rFonts w:asciiTheme="majorBidi" w:eastAsiaTheme="majorEastAsia" w:hAnsiTheme="majorBidi" w:cstheme="majorBidi"/>
                <w:sz w:val="20"/>
                <w:szCs w:val="20"/>
              </w:rPr>
              <w:t>Bid Submission Deadline</w:t>
            </w:r>
            <w:r w:rsidRPr="00B84925">
              <w:rPr>
                <w:rFonts w:asciiTheme="majorBidi" w:hAnsiTheme="majorBidi" w:cstheme="majorBidi"/>
                <w:b/>
                <w:bCs/>
                <w:sz w:val="20"/>
                <w:szCs w:val="20"/>
              </w:rPr>
              <w:t xml:space="preserve"> </w:t>
            </w:r>
            <w:r w:rsidRPr="00B84925">
              <w:rPr>
                <w:rFonts w:asciiTheme="majorBidi" w:hAnsiTheme="majorBidi" w:cstheme="majorBidi"/>
                <w:sz w:val="20"/>
                <w:szCs w:val="20"/>
              </w:rPr>
              <w:t>is</w:t>
            </w:r>
            <w:r w:rsidRPr="00B84925">
              <w:rPr>
                <w:rFonts w:asciiTheme="majorBidi" w:hAnsiTheme="majorBidi" w:cstheme="majorBidi"/>
                <w:b/>
                <w:bCs/>
                <w:sz w:val="20"/>
                <w:szCs w:val="20"/>
              </w:rPr>
              <w:t xml:space="preserve"> </w:t>
            </w:r>
            <w:r w:rsidRPr="00B84925">
              <w:rPr>
                <w:rStyle w:val="a5"/>
                <w:rFonts w:asciiTheme="majorBidi" w:eastAsiaTheme="majorEastAsia" w:hAnsiTheme="majorBidi" w:cstheme="majorBidi"/>
                <w:sz w:val="20"/>
                <w:szCs w:val="20"/>
              </w:rPr>
              <w:t>December 16, 2025, at 14:00 Standard Israel Time</w:t>
            </w:r>
            <w:r w:rsidRPr="00B84925">
              <w:rPr>
                <w:rFonts w:asciiTheme="majorBidi" w:hAnsiTheme="majorBidi" w:cstheme="majorBidi"/>
                <w:sz w:val="20"/>
                <w:szCs w:val="20"/>
              </w:rPr>
              <w:t>, as indicated in the Tender schedule on page 4.</w:t>
            </w:r>
          </w:p>
          <w:p w14:paraId="1BC2022C"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reference to “November 16, 2025” in Section 6(d) was a typographical error.</w:t>
            </w:r>
          </w:p>
          <w:p w14:paraId="7CDA1784"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Accordingly, all Bidders shall ensure that their proposals are submitted no later than </w:t>
            </w:r>
            <w:r w:rsidRPr="00B84925">
              <w:rPr>
                <w:rStyle w:val="a5"/>
                <w:rFonts w:asciiTheme="majorBidi" w:eastAsiaTheme="majorEastAsia" w:hAnsiTheme="majorBidi" w:cstheme="majorBidi"/>
                <w:sz w:val="20"/>
                <w:szCs w:val="20"/>
              </w:rPr>
              <w:t>December 16, 2025</w:t>
            </w:r>
            <w:r w:rsidRPr="00B84925">
              <w:rPr>
                <w:rFonts w:asciiTheme="majorBidi" w:hAnsiTheme="majorBidi" w:cstheme="majorBidi"/>
                <w:sz w:val="20"/>
                <w:szCs w:val="20"/>
              </w:rPr>
              <w:t>, both in hard copy and in digital format, in accordance with the submission instructions in Section 6.</w:t>
            </w:r>
          </w:p>
          <w:p w14:paraId="55C5125F"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Tender Committee reserves the right to amend the Submission Deadline, at its sole discretion, by issuing an official written clarification or addendum on the Ministry’s website.</w:t>
            </w:r>
          </w:p>
          <w:p w14:paraId="0E78DAAF" w14:textId="045EA440" w:rsidR="00B84925" w:rsidRPr="00B84925" w:rsidRDefault="00B84925" w:rsidP="00B84925">
            <w:pPr>
              <w:spacing w:beforeAutospacing="1" w:after="100" w:afterAutospacing="1" w:line="240"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The Ministry encourages</w:t>
            </w:r>
            <w:r w:rsidRPr="00B84925">
              <w:rPr>
                <w:rFonts w:asciiTheme="majorBidi" w:eastAsia="Times New Roman" w:hAnsiTheme="majorBidi" w:cstheme="majorBidi"/>
                <w:sz w:val="20"/>
                <w:szCs w:val="20"/>
                <w:lang w:val="en-US"/>
              </w:rPr>
              <w:t xml:space="preserve"> the </w:t>
            </w:r>
            <w:r w:rsidRPr="00B84925">
              <w:rPr>
                <w:rFonts w:asciiTheme="majorBidi" w:eastAsia="Times New Roman" w:hAnsiTheme="majorBidi" w:cstheme="majorBidi"/>
                <w:sz w:val="20"/>
                <w:szCs w:val="20"/>
              </w:rPr>
              <w:t>Bid’s documentation delivery in time in full complexity that could require accurate allocation of the time for that . The Ministry is not responsible for any possible courier delay and will not be able to change Bid submission deadline because of this matter.</w:t>
            </w:r>
          </w:p>
        </w:tc>
      </w:tr>
      <w:tr w:rsidR="00B84925" w:rsidRPr="00B84925" w14:paraId="00239C00" w14:textId="77777777" w:rsidTr="00B84925">
        <w:trPr>
          <w:cantSplit/>
          <w:jc w:val="center"/>
        </w:trPr>
        <w:tc>
          <w:tcPr>
            <w:tcW w:w="421" w:type="dxa"/>
          </w:tcPr>
          <w:p w14:paraId="4ED51FA7" w14:textId="56C50180"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12</w:t>
            </w:r>
          </w:p>
        </w:tc>
        <w:tc>
          <w:tcPr>
            <w:tcW w:w="1842" w:type="dxa"/>
          </w:tcPr>
          <w:p w14:paraId="612C230E" w14:textId="4AF1C5F1"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6(d)</w:t>
            </w:r>
          </w:p>
        </w:tc>
        <w:tc>
          <w:tcPr>
            <w:tcW w:w="6379" w:type="dxa"/>
          </w:tcPr>
          <w:p w14:paraId="0BEE69FB"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It is stated in Section 6 that the deadline for submission of Bids is November 16, 2025, at 1</w:t>
            </w:r>
            <w:r w:rsidRPr="00B84925">
              <w:rPr>
                <w:rFonts w:asciiTheme="majorBidi" w:hAnsiTheme="majorBidi" w:cstheme="majorBidi"/>
                <w:sz w:val="20"/>
                <w:szCs w:val="20"/>
                <w:rtl/>
              </w:rPr>
              <w:t>4</w:t>
            </w:r>
            <w:r w:rsidRPr="00B84925">
              <w:rPr>
                <w:rFonts w:asciiTheme="majorBidi" w:hAnsiTheme="majorBidi" w:cstheme="majorBidi"/>
                <w:sz w:val="20"/>
                <w:szCs w:val="20"/>
              </w:rPr>
              <w:t>:00, Standard Israel time (the “</w:t>
            </w:r>
            <w:r w:rsidRPr="00B84925">
              <w:rPr>
                <w:rFonts w:asciiTheme="majorBidi" w:hAnsiTheme="majorBidi" w:cstheme="majorBidi"/>
                <w:b/>
                <w:bCs/>
                <w:sz w:val="20"/>
                <w:szCs w:val="20"/>
              </w:rPr>
              <w:t>Bid Submission Deadline</w:t>
            </w:r>
            <w:r w:rsidRPr="00B84925">
              <w:rPr>
                <w:rFonts w:asciiTheme="majorBidi" w:hAnsiTheme="majorBidi" w:cstheme="majorBidi"/>
                <w:sz w:val="20"/>
                <w:szCs w:val="20"/>
              </w:rPr>
              <w:t>” or the “</w:t>
            </w:r>
            <w:r w:rsidRPr="00B84925">
              <w:rPr>
                <w:rFonts w:asciiTheme="majorBidi" w:hAnsiTheme="majorBidi" w:cstheme="majorBidi"/>
                <w:b/>
                <w:bCs/>
                <w:sz w:val="20"/>
                <w:szCs w:val="20"/>
              </w:rPr>
              <w:t>Submission Deadline</w:t>
            </w:r>
            <w:r w:rsidRPr="00B84925">
              <w:rPr>
                <w:rFonts w:asciiTheme="majorBidi" w:hAnsiTheme="majorBidi" w:cstheme="majorBidi"/>
                <w:sz w:val="20"/>
                <w:szCs w:val="20"/>
              </w:rPr>
              <w:t xml:space="preserve">”) however in  page 3 of the tender “Summary of the anticipated Tender schedule” table the deadline is 16/12/2025 (*). </w:t>
            </w:r>
          </w:p>
          <w:p w14:paraId="7549C4AC" w14:textId="54647A27" w:rsidR="00B84925" w:rsidRPr="00B84925" w:rsidRDefault="00B84925" w:rsidP="00B84925">
            <w:pPr>
              <w:pStyle w:val="NormalWeb"/>
              <w:rPr>
                <w:rFonts w:asciiTheme="majorBidi" w:eastAsia="Times New Roman" w:hAnsiTheme="majorBidi" w:cstheme="majorBidi"/>
                <w:sz w:val="20"/>
                <w:szCs w:val="20"/>
              </w:rPr>
            </w:pPr>
            <w:r w:rsidRPr="00B84925">
              <w:rPr>
                <w:rFonts w:asciiTheme="majorBidi" w:hAnsiTheme="majorBidi" w:cstheme="majorBidi"/>
                <w:i/>
                <w:iCs/>
                <w:sz w:val="20"/>
                <w:szCs w:val="20"/>
              </w:rPr>
              <w:t>Clarification: could you please clarify the deadline of the tender?</w:t>
            </w:r>
          </w:p>
        </w:tc>
        <w:tc>
          <w:tcPr>
            <w:tcW w:w="6746" w:type="dxa"/>
          </w:tcPr>
          <w:p w14:paraId="2A0AEC9A" w14:textId="6101D6CF"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deadline is 16.12.2025, corrected in the tender documentation.</w:t>
            </w:r>
          </w:p>
        </w:tc>
      </w:tr>
      <w:tr w:rsidR="00B84925" w:rsidRPr="00B84925" w14:paraId="41C6E89D" w14:textId="77777777" w:rsidTr="00B84925">
        <w:trPr>
          <w:cantSplit/>
          <w:jc w:val="center"/>
        </w:trPr>
        <w:tc>
          <w:tcPr>
            <w:tcW w:w="421" w:type="dxa"/>
          </w:tcPr>
          <w:p w14:paraId="67D21A3C" w14:textId="0A6E343A"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lastRenderedPageBreak/>
              <w:t>13</w:t>
            </w:r>
          </w:p>
        </w:tc>
        <w:tc>
          <w:tcPr>
            <w:tcW w:w="1842" w:type="dxa"/>
          </w:tcPr>
          <w:p w14:paraId="02455A93" w14:textId="06D69B77"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8</w:t>
            </w:r>
          </w:p>
        </w:tc>
        <w:tc>
          <w:tcPr>
            <w:tcW w:w="6379" w:type="dxa"/>
          </w:tcPr>
          <w:p w14:paraId="0E44824B" w14:textId="77777777" w:rsidR="00B84925" w:rsidRPr="00B84925" w:rsidRDefault="00B84925" w:rsidP="00B84925">
            <w:pPr>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States “The bidder has the right to present its Bid documentation in an individual videoconference to be held with the Ministry.”. The quality scoring matrix for basket 2 explicitly includes a score for the videoconference, whereas basket 1 does not. Are there points available for in basket 1 for a videoconference?</w:t>
            </w:r>
          </w:p>
          <w:p w14:paraId="39B066A9" w14:textId="77777777" w:rsidR="00B84925" w:rsidRPr="00B84925" w:rsidRDefault="00B84925" w:rsidP="00B84925">
            <w:pPr>
              <w:pStyle w:val="NormalWeb"/>
              <w:rPr>
                <w:rFonts w:asciiTheme="majorBidi" w:eastAsia="Times New Roman" w:hAnsiTheme="majorBidi" w:cstheme="majorBidi"/>
                <w:sz w:val="20"/>
                <w:szCs w:val="20"/>
              </w:rPr>
            </w:pPr>
          </w:p>
        </w:tc>
        <w:tc>
          <w:tcPr>
            <w:tcW w:w="6746" w:type="dxa"/>
          </w:tcPr>
          <w:p w14:paraId="4D8D1297"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clarifies that the option for an individual videoconference with the Tender Committee applies to both Baskets.</w:t>
            </w:r>
          </w:p>
          <w:p w14:paraId="380F0718"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For </w:t>
            </w:r>
            <w:r w:rsidRPr="00B84925">
              <w:rPr>
                <w:rStyle w:val="a5"/>
                <w:rFonts w:asciiTheme="majorBidi" w:eastAsiaTheme="majorEastAsia" w:hAnsiTheme="majorBidi" w:cstheme="majorBidi"/>
                <w:sz w:val="20"/>
                <w:szCs w:val="20"/>
              </w:rPr>
              <w:t>Basket 1</w:t>
            </w:r>
            <w:r w:rsidRPr="00B84925">
              <w:rPr>
                <w:rFonts w:asciiTheme="majorBidi" w:hAnsiTheme="majorBidi" w:cstheme="majorBidi"/>
                <w:sz w:val="20"/>
                <w:szCs w:val="20"/>
              </w:rPr>
              <w:t xml:space="preserve">, participation in the videoconference is </w:t>
            </w:r>
            <w:r w:rsidRPr="00B84925">
              <w:rPr>
                <w:rStyle w:val="a5"/>
                <w:rFonts w:asciiTheme="majorBidi" w:eastAsiaTheme="majorEastAsia" w:hAnsiTheme="majorBidi" w:cstheme="majorBidi"/>
                <w:sz w:val="20"/>
                <w:szCs w:val="20"/>
              </w:rPr>
              <w:t>optional</w:t>
            </w:r>
            <w:r w:rsidRPr="00B84925">
              <w:rPr>
                <w:rFonts w:asciiTheme="majorBidi" w:hAnsiTheme="majorBidi" w:cstheme="majorBidi"/>
                <w:sz w:val="20"/>
                <w:szCs w:val="20"/>
              </w:rPr>
              <w:t xml:space="preserve"> and subject to the Ministry’s discretion.</w:t>
            </w:r>
            <w:r w:rsidRPr="00B84925">
              <w:rPr>
                <w:rFonts w:asciiTheme="majorBidi" w:hAnsiTheme="majorBidi" w:cstheme="majorBidi"/>
                <w:sz w:val="20"/>
                <w:szCs w:val="20"/>
              </w:rPr>
              <w:br/>
              <w:t xml:space="preserve">While it does not constitute a separate scored criterion, the Committee may, at its sole discretion, consider the </w:t>
            </w:r>
            <w:r w:rsidRPr="00B84925">
              <w:rPr>
                <w:rStyle w:val="a5"/>
                <w:rFonts w:asciiTheme="majorBidi" w:eastAsiaTheme="majorEastAsia" w:hAnsiTheme="majorBidi" w:cstheme="majorBidi"/>
                <w:sz w:val="20"/>
                <w:szCs w:val="20"/>
              </w:rPr>
              <w:t>professional impression gained during the presentation</w:t>
            </w:r>
            <w:r w:rsidRPr="00B84925">
              <w:rPr>
                <w:rFonts w:asciiTheme="majorBidi" w:hAnsiTheme="majorBidi" w:cstheme="majorBidi"/>
                <w:sz w:val="20"/>
                <w:szCs w:val="20"/>
              </w:rPr>
              <w:t xml:space="preserve"> as part of the overall qualitative assessment (up to 10% of the quality score, as indicated in the evaluation criteria).</w:t>
            </w:r>
          </w:p>
          <w:p w14:paraId="338FEE33"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For </w:t>
            </w:r>
            <w:r w:rsidRPr="00B84925">
              <w:rPr>
                <w:rStyle w:val="a5"/>
                <w:rFonts w:asciiTheme="majorBidi" w:eastAsiaTheme="majorEastAsia" w:hAnsiTheme="majorBidi" w:cstheme="majorBidi"/>
                <w:sz w:val="20"/>
                <w:szCs w:val="20"/>
              </w:rPr>
              <w:t>Basket 2</w:t>
            </w:r>
            <w:r w:rsidRPr="00B84925">
              <w:rPr>
                <w:rFonts w:asciiTheme="majorBidi" w:hAnsiTheme="majorBidi" w:cstheme="majorBidi"/>
                <w:sz w:val="20"/>
                <w:szCs w:val="20"/>
              </w:rPr>
              <w:t xml:space="preserve">, the videoconference presentation constitutes a </w:t>
            </w:r>
            <w:r w:rsidRPr="00B84925">
              <w:rPr>
                <w:rStyle w:val="a5"/>
                <w:rFonts w:asciiTheme="majorBidi" w:eastAsiaTheme="majorEastAsia" w:hAnsiTheme="majorBidi" w:cstheme="majorBidi"/>
                <w:sz w:val="20"/>
                <w:szCs w:val="20"/>
              </w:rPr>
              <w:t>formal component</w:t>
            </w:r>
            <w:r w:rsidRPr="00B84925">
              <w:rPr>
                <w:rFonts w:asciiTheme="majorBidi" w:hAnsiTheme="majorBidi" w:cstheme="majorBidi"/>
                <w:sz w:val="20"/>
                <w:szCs w:val="20"/>
              </w:rPr>
              <w:t xml:space="preserve"> of the quality evaluation matrix and will be scored accordingly but participation in the Video Conference is not mandatory requirements..</w:t>
            </w:r>
          </w:p>
          <w:p w14:paraId="33B1E322"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The detailed schedule of videoconferences for both Baskets will be announced on the Ministry’s website no later than </w:t>
            </w:r>
            <w:r w:rsidRPr="00B84925">
              <w:rPr>
                <w:rStyle w:val="a5"/>
                <w:rFonts w:asciiTheme="majorBidi" w:eastAsiaTheme="majorEastAsia" w:hAnsiTheme="majorBidi" w:cstheme="majorBidi"/>
                <w:sz w:val="20"/>
                <w:szCs w:val="20"/>
              </w:rPr>
              <w:t>December 16, 2025, by 18:00</w:t>
            </w:r>
            <w:r w:rsidRPr="00B84925">
              <w:rPr>
                <w:rFonts w:asciiTheme="majorBidi" w:hAnsiTheme="majorBidi" w:cstheme="majorBidi"/>
                <w:sz w:val="20"/>
                <w:szCs w:val="20"/>
              </w:rPr>
              <w:t>.</w:t>
            </w:r>
          </w:p>
          <w:p w14:paraId="4A636991"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This clarification is provided solely for interpretive purposes and does not amend or modify the Tender Documents.</w:t>
            </w:r>
          </w:p>
          <w:p w14:paraId="3F5F3026" w14:textId="77777777" w:rsidR="00B84925" w:rsidRPr="00B84925" w:rsidRDefault="00B84925" w:rsidP="00B84925">
            <w:pPr>
              <w:rPr>
                <w:rFonts w:asciiTheme="majorBidi" w:hAnsiTheme="majorBidi" w:cstheme="majorBidi"/>
                <w:sz w:val="20"/>
                <w:szCs w:val="20"/>
                <w:lang w:val="en-US"/>
              </w:rPr>
            </w:pPr>
          </w:p>
        </w:tc>
      </w:tr>
      <w:tr w:rsidR="00B84925" w:rsidRPr="00B84925" w14:paraId="0D43C7FB" w14:textId="77777777" w:rsidTr="00B84925">
        <w:trPr>
          <w:cantSplit/>
          <w:jc w:val="center"/>
        </w:trPr>
        <w:tc>
          <w:tcPr>
            <w:tcW w:w="421" w:type="dxa"/>
          </w:tcPr>
          <w:p w14:paraId="16F1A1E7" w14:textId="77B57403"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14</w:t>
            </w:r>
          </w:p>
        </w:tc>
        <w:tc>
          <w:tcPr>
            <w:tcW w:w="1842" w:type="dxa"/>
          </w:tcPr>
          <w:p w14:paraId="4EDCDECD" w14:textId="0BAA14BA"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8</w:t>
            </w:r>
          </w:p>
        </w:tc>
        <w:tc>
          <w:tcPr>
            <w:tcW w:w="6379" w:type="dxa"/>
          </w:tcPr>
          <w:p w14:paraId="0A5C4E0B" w14:textId="484EA202" w:rsidR="00B84925" w:rsidRPr="00B84925" w:rsidRDefault="00B84925" w:rsidP="00B84925">
            <w:pPr>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If bidding for both baskets, will a separate videoconference be required for each basket?</w:t>
            </w:r>
          </w:p>
        </w:tc>
        <w:tc>
          <w:tcPr>
            <w:tcW w:w="6746" w:type="dxa"/>
          </w:tcPr>
          <w:p w14:paraId="260A8C7D"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clarifies that the videoconference presentations for Basket 1 and Basket 2 will be held separately, as each Basket constitutes a distinct and independently evaluated tender process.</w:t>
            </w:r>
          </w:p>
          <w:p w14:paraId="7DBC591E"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For Basket 1, participation in the videoconference remains optional and subject to the Ministry’s discretion. Where such a meeting is held, the Committee may, at its sole discretion, consider the professional impression formed during the presentation as part of the overall qualitative assessment (up to 10% of the quality score).</w:t>
            </w:r>
          </w:p>
          <w:p w14:paraId="3DB3DF91"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For Basket 2, the videoconference presentation is scored component of the quality evaluation, as specified in the Tender Documents.</w:t>
            </w:r>
          </w:p>
          <w:p w14:paraId="38948755"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Bidders submitting proposals for both Baskets will therefore be invited to two separate videoconferences</w:t>
            </w:r>
            <w:r w:rsidRPr="00B84925">
              <w:rPr>
                <w:rFonts w:asciiTheme="majorBidi" w:hAnsiTheme="majorBidi" w:cstheme="majorBidi"/>
                <w:sz w:val="20"/>
                <w:szCs w:val="20"/>
                <w:rtl/>
              </w:rPr>
              <w:t xml:space="preserve">, </w:t>
            </w:r>
            <w:r w:rsidRPr="00B84925">
              <w:rPr>
                <w:rFonts w:asciiTheme="majorBidi" w:hAnsiTheme="majorBidi" w:cstheme="majorBidi"/>
                <w:sz w:val="20"/>
                <w:szCs w:val="20"/>
              </w:rPr>
              <w:t>one for each Basket. For scheduling efficiency, the Ministry may, at its discretion, arrange both meetings on the same or consecutive days, while maintaining full procedural separation and independent evaluation for each Basket.</w:t>
            </w:r>
          </w:p>
          <w:p w14:paraId="122AC13C" w14:textId="50DBA561"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detailed schedule of videoconferences will be announced on the Ministry’s website no later than December 16, 2025, by 18:00.</w:t>
            </w:r>
          </w:p>
        </w:tc>
      </w:tr>
      <w:tr w:rsidR="00B84925" w:rsidRPr="00B84925" w14:paraId="58B88AD9" w14:textId="77777777" w:rsidTr="00B84925">
        <w:trPr>
          <w:cantSplit/>
          <w:jc w:val="center"/>
        </w:trPr>
        <w:tc>
          <w:tcPr>
            <w:tcW w:w="421" w:type="dxa"/>
          </w:tcPr>
          <w:p w14:paraId="3B795A7B" w14:textId="6B9F4738" w:rsidR="00B84925" w:rsidRPr="00B84925" w:rsidRDefault="00B84925" w:rsidP="00B84925">
            <w:pPr>
              <w:rPr>
                <w:rFonts w:asciiTheme="majorBidi" w:hAnsiTheme="majorBidi" w:cstheme="majorBidi"/>
                <w:sz w:val="20"/>
                <w:szCs w:val="20"/>
                <w:rtl/>
                <w:lang w:bidi="he-IL"/>
              </w:rPr>
            </w:pPr>
            <w:r>
              <w:rPr>
                <w:rFonts w:asciiTheme="majorBidi" w:hAnsiTheme="majorBidi" w:cstheme="majorBidi"/>
                <w:sz w:val="20"/>
                <w:szCs w:val="20"/>
                <w:lang w:bidi="he-IL"/>
              </w:rPr>
              <w:t>15</w:t>
            </w:r>
          </w:p>
        </w:tc>
        <w:tc>
          <w:tcPr>
            <w:tcW w:w="1842" w:type="dxa"/>
          </w:tcPr>
          <w:p w14:paraId="49DC0C20" w14:textId="0E21A310"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tl/>
                <w:lang w:bidi="he-IL"/>
              </w:rPr>
              <w:t>8</w:t>
            </w:r>
            <w:r w:rsidRPr="00B84925">
              <w:rPr>
                <w:rFonts w:asciiTheme="majorBidi" w:hAnsiTheme="majorBidi" w:cstheme="majorBidi"/>
                <w:sz w:val="20"/>
                <w:szCs w:val="20"/>
              </w:rPr>
              <w:t>.</w:t>
            </w:r>
            <w:r w:rsidRPr="00B84925">
              <w:rPr>
                <w:rFonts w:asciiTheme="majorBidi" w:hAnsiTheme="majorBidi" w:cstheme="majorBidi"/>
                <w:sz w:val="20"/>
                <w:szCs w:val="20"/>
                <w:rtl/>
                <w:lang w:bidi="he-IL"/>
              </w:rPr>
              <w:t>1</w:t>
            </w:r>
            <w:r w:rsidRPr="00B84925">
              <w:rPr>
                <w:rFonts w:asciiTheme="majorBidi" w:hAnsiTheme="majorBidi" w:cstheme="majorBidi"/>
                <w:sz w:val="20"/>
                <w:szCs w:val="20"/>
                <w:lang w:val="en-US" w:bidi="he-IL"/>
              </w:rPr>
              <w:t xml:space="preserve"> </w:t>
            </w:r>
            <w:r w:rsidRPr="00B84925">
              <w:rPr>
                <w:rFonts w:asciiTheme="majorBidi" w:hAnsiTheme="majorBidi" w:cstheme="majorBidi"/>
                <w:sz w:val="20"/>
                <w:szCs w:val="20"/>
              </w:rPr>
              <w:t xml:space="preserve"> pg.</w:t>
            </w:r>
            <w:r w:rsidRPr="00B84925">
              <w:rPr>
                <w:rFonts w:asciiTheme="majorBidi" w:hAnsiTheme="majorBidi" w:cstheme="majorBidi"/>
                <w:sz w:val="20"/>
                <w:szCs w:val="20"/>
                <w:rtl/>
                <w:lang w:bidi="he-IL"/>
              </w:rPr>
              <w:t>24</w:t>
            </w:r>
          </w:p>
        </w:tc>
        <w:tc>
          <w:tcPr>
            <w:tcW w:w="6379" w:type="dxa"/>
          </w:tcPr>
          <w:p w14:paraId="19C9F780" w14:textId="0B745FA3"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Please define the depth for ultra-deep water</w:t>
            </w:r>
          </w:p>
        </w:tc>
        <w:tc>
          <w:tcPr>
            <w:tcW w:w="6746" w:type="dxa"/>
          </w:tcPr>
          <w:p w14:paraId="5C700232" w14:textId="00B2A3AE"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The Ministry clarifies that, in accordance with internationally accepted offshore classifications (including those of the American Petroleum Institute (API), the International Association of Drilling Contractors (IADC), and the U.S. Department of Energy), the term “Ultra Deep-Water” shall refer to offshore petroleum or gas operations conducted in water depths exceeding approximately 1,800–2,000 meters.</w:t>
            </w:r>
          </w:p>
          <w:p w14:paraId="0BBB5304"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This clarification is provided for interpretation purposes only and does not amend the Tender Documents.</w:t>
            </w:r>
          </w:p>
          <w:p w14:paraId="7428B51A" w14:textId="77777777" w:rsidR="00B84925" w:rsidRPr="00B84925" w:rsidRDefault="00B84925" w:rsidP="00B84925">
            <w:pPr>
              <w:spacing w:beforeAutospacing="1" w:after="100" w:afterAutospacing="1" w:line="240" w:lineRule="auto"/>
              <w:rPr>
                <w:rFonts w:asciiTheme="majorBidi" w:eastAsia="Times New Roman" w:hAnsiTheme="majorBidi" w:cstheme="majorBidi"/>
                <w:kern w:val="0"/>
                <w:sz w:val="20"/>
                <w:szCs w:val="20"/>
                <w:rtl/>
                <w:lang w:val="en-US" w:bidi="he-IL"/>
                <w14:ligatures w14:val="none"/>
              </w:rPr>
            </w:pPr>
          </w:p>
        </w:tc>
      </w:tr>
      <w:tr w:rsidR="00B84925" w:rsidRPr="00B84925" w14:paraId="603AAF0B" w14:textId="77777777" w:rsidTr="00B84925">
        <w:trPr>
          <w:cantSplit/>
          <w:jc w:val="center"/>
        </w:trPr>
        <w:tc>
          <w:tcPr>
            <w:tcW w:w="421" w:type="dxa"/>
          </w:tcPr>
          <w:p w14:paraId="7DBB46BE" w14:textId="2C0B6422" w:rsidR="00B84925" w:rsidRPr="00B84925" w:rsidRDefault="00B84925" w:rsidP="00B84925">
            <w:pPr>
              <w:rPr>
                <w:rFonts w:asciiTheme="majorBidi" w:hAnsiTheme="majorBidi" w:cstheme="majorBidi"/>
                <w:sz w:val="20"/>
                <w:szCs w:val="20"/>
                <w:rtl/>
                <w:lang w:bidi="he-IL"/>
              </w:rPr>
            </w:pPr>
            <w:r>
              <w:rPr>
                <w:rFonts w:asciiTheme="majorBidi" w:hAnsiTheme="majorBidi" w:cstheme="majorBidi"/>
                <w:sz w:val="20"/>
                <w:szCs w:val="20"/>
                <w:lang w:bidi="he-IL"/>
              </w:rPr>
              <w:t>16</w:t>
            </w:r>
          </w:p>
        </w:tc>
        <w:tc>
          <w:tcPr>
            <w:tcW w:w="1842" w:type="dxa"/>
          </w:tcPr>
          <w:p w14:paraId="1495D77E" w14:textId="7D32B5DC" w:rsidR="00B84925" w:rsidRPr="00B84925" w:rsidRDefault="00B84925" w:rsidP="00B84925">
            <w:pPr>
              <w:spacing w:line="240" w:lineRule="auto"/>
              <w:rPr>
                <w:rFonts w:asciiTheme="majorBidi" w:hAnsiTheme="majorBidi" w:cstheme="majorBidi"/>
                <w:sz w:val="20"/>
                <w:szCs w:val="20"/>
                <w:rtl/>
                <w:lang w:val="en-US" w:bidi="he-IL"/>
              </w:rPr>
            </w:pPr>
            <w:r w:rsidRPr="00B84925">
              <w:rPr>
                <w:rFonts w:asciiTheme="majorBidi" w:eastAsia="Times New Roman" w:hAnsiTheme="majorBidi" w:cstheme="majorBidi"/>
                <w:sz w:val="20"/>
                <w:szCs w:val="20"/>
              </w:rPr>
              <w:t>Section 8.2 stage 2 #</w:t>
            </w:r>
            <w:r w:rsidRPr="00B84925">
              <w:rPr>
                <w:rFonts w:asciiTheme="majorBidi" w:hAnsiTheme="majorBidi" w:cstheme="majorBidi"/>
                <w:sz w:val="20"/>
                <w:szCs w:val="20"/>
                <w:lang w:val="en-US" w:bidi="he-IL"/>
              </w:rPr>
              <w:t>3</w:t>
            </w:r>
          </w:p>
        </w:tc>
        <w:tc>
          <w:tcPr>
            <w:tcW w:w="6379" w:type="dxa"/>
          </w:tcPr>
          <w:p w14:paraId="5378C8FA" w14:textId="73F3C596"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rPr>
              <w:t>2.2g prequalification conditions states “The Bidder has provided consulting for at least 10 E&amp;P projects”, but the scoring table gives 5 points to 5-9 projects. Suggest that section 2.2g be changed to align with the scoring table.</w:t>
            </w:r>
          </w:p>
        </w:tc>
        <w:tc>
          <w:tcPr>
            <w:tcW w:w="6746" w:type="dxa"/>
          </w:tcPr>
          <w:p w14:paraId="1D77AE90" w14:textId="1309806B" w:rsidR="00B84925" w:rsidRPr="00B84925" w:rsidRDefault="00B84925" w:rsidP="00B84925">
            <w:pPr>
              <w:spacing w:line="240"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 xml:space="preserve">Corrected in the tender documentation, section 8.2, Qualification Score table, item 4: </w:t>
            </w:r>
          </w:p>
          <w:p w14:paraId="137084AF" w14:textId="77777777" w:rsidR="00B84925" w:rsidRPr="00B84925" w:rsidRDefault="00B84925" w:rsidP="00B84925">
            <w:pPr>
              <w:spacing w:line="240" w:lineRule="auto"/>
              <w:rPr>
                <w:rFonts w:ascii="Times New Roman" w:hAnsi="Times New Roman" w:cs="Times New Roman"/>
                <w:sz w:val="20"/>
                <w:szCs w:val="20"/>
              </w:rPr>
            </w:pPr>
            <w:r w:rsidRPr="00B84925">
              <w:rPr>
                <w:rFonts w:ascii="Times New Roman" w:hAnsi="Times New Roman" w:cs="Times New Roman"/>
                <w:sz w:val="20"/>
                <w:szCs w:val="20"/>
              </w:rPr>
              <w:t>Experience of the Bidder in providing the required services (described briefly in Appendix A2) to the Global NOC &amp; IOC companies listed in the top 50 places in the most recent edition of Energy Intelligence Top 100 and/or S&amp;P Global Commodity Insights' Top 250 Global Energy Company Rankings and/or government ministries or regulatory agencies, with regard to E&amp;P projects with a total budget of at least $2 billion:</w:t>
            </w:r>
          </w:p>
          <w:p w14:paraId="5BC2EE3E" w14:textId="6479AA18"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bidi="he-IL"/>
                <w14:ligatures w14:val="none"/>
              </w:rPr>
            </w:pPr>
          </w:p>
        </w:tc>
      </w:tr>
      <w:tr w:rsidR="00B84925" w:rsidRPr="00B84925" w14:paraId="2D4BA67F" w14:textId="77777777" w:rsidTr="00B84925">
        <w:trPr>
          <w:cantSplit/>
          <w:jc w:val="center"/>
        </w:trPr>
        <w:tc>
          <w:tcPr>
            <w:tcW w:w="421" w:type="dxa"/>
          </w:tcPr>
          <w:p w14:paraId="564FB0DF" w14:textId="30C6DFF4" w:rsidR="00B84925" w:rsidRPr="00B84925" w:rsidRDefault="00B84925" w:rsidP="00B84925">
            <w:pPr>
              <w:rPr>
                <w:rFonts w:asciiTheme="majorBidi" w:hAnsiTheme="majorBidi" w:cstheme="majorBidi"/>
                <w:sz w:val="20"/>
                <w:szCs w:val="20"/>
                <w:rtl/>
                <w:lang w:bidi="he-IL"/>
              </w:rPr>
            </w:pPr>
            <w:r>
              <w:rPr>
                <w:rFonts w:asciiTheme="majorBidi" w:hAnsiTheme="majorBidi" w:cstheme="majorBidi"/>
                <w:sz w:val="20"/>
                <w:szCs w:val="20"/>
                <w:lang w:bidi="he-IL"/>
              </w:rPr>
              <w:t>17</w:t>
            </w:r>
          </w:p>
        </w:tc>
        <w:tc>
          <w:tcPr>
            <w:tcW w:w="1842" w:type="dxa"/>
          </w:tcPr>
          <w:p w14:paraId="4A4135D3" w14:textId="31D4AC90" w:rsidR="00B84925" w:rsidRPr="00B84925" w:rsidRDefault="00B84925" w:rsidP="00B84925">
            <w:pPr>
              <w:rPr>
                <w:rFonts w:asciiTheme="majorBidi" w:hAnsiTheme="majorBidi" w:cstheme="majorBidi"/>
                <w:sz w:val="20"/>
                <w:szCs w:val="20"/>
                <w:rtl/>
                <w:lang w:bidi="he-IL"/>
              </w:rPr>
            </w:pPr>
            <w:r w:rsidRPr="00B84925">
              <w:rPr>
                <w:rFonts w:asciiTheme="majorBidi" w:eastAsia="Times New Roman" w:hAnsiTheme="majorBidi" w:cstheme="majorBidi"/>
                <w:sz w:val="20"/>
                <w:szCs w:val="20"/>
              </w:rPr>
              <w:t>Section 8.2 stage 2 #8</w:t>
            </w:r>
          </w:p>
        </w:tc>
        <w:tc>
          <w:tcPr>
            <w:tcW w:w="6379" w:type="dxa"/>
          </w:tcPr>
          <w:p w14:paraId="42BABF30" w14:textId="5F767703"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rPr>
              <w:t>Can you please provide more information on topics to be covered in the videoconference presentation and questions that will be asked of the Bidder?</w:t>
            </w:r>
          </w:p>
        </w:tc>
        <w:tc>
          <w:tcPr>
            <w:tcW w:w="6746" w:type="dxa"/>
          </w:tcPr>
          <w:p w14:paraId="3A336EFD"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clarifies that for Basket 1, the videoconference</w:t>
            </w:r>
            <w:r w:rsidRPr="00B84925">
              <w:rPr>
                <w:rFonts w:asciiTheme="majorBidi" w:hAnsiTheme="majorBidi" w:cstheme="majorBidi"/>
                <w:sz w:val="20"/>
                <w:szCs w:val="20"/>
                <w:rtl/>
              </w:rPr>
              <w:t xml:space="preserve">, </w:t>
            </w:r>
            <w:r w:rsidRPr="00B84925">
              <w:rPr>
                <w:rFonts w:asciiTheme="majorBidi" w:hAnsiTheme="majorBidi" w:cstheme="majorBidi"/>
                <w:sz w:val="20"/>
                <w:szCs w:val="20"/>
              </w:rPr>
              <w:t>if held</w:t>
            </w:r>
            <w:r w:rsidRPr="00B84925">
              <w:rPr>
                <w:rFonts w:asciiTheme="majorBidi" w:hAnsiTheme="majorBidi" w:cstheme="majorBidi"/>
                <w:sz w:val="20"/>
                <w:szCs w:val="20"/>
                <w:rtl/>
              </w:rPr>
              <w:t xml:space="preserve">, </w:t>
            </w:r>
            <w:r w:rsidRPr="00B84925">
              <w:rPr>
                <w:rFonts w:asciiTheme="majorBidi" w:hAnsiTheme="majorBidi" w:cstheme="majorBidi"/>
                <w:sz w:val="20"/>
                <w:szCs w:val="20"/>
              </w:rPr>
              <w:t>will serve as an opportunity for the Evaluation Committee to gain a professional impression of the proposed team and its project management approach.</w:t>
            </w:r>
            <w:r w:rsidRPr="00B84925">
              <w:rPr>
                <w:rFonts w:asciiTheme="majorBidi" w:hAnsiTheme="majorBidi" w:cstheme="majorBidi"/>
                <w:sz w:val="20"/>
                <w:szCs w:val="20"/>
              </w:rPr>
              <w:br/>
              <w:t>The presentation is not intended to introduce new requirements or modify the Bid but to allow clarification and elaboration of the proposal already submitted.</w:t>
            </w:r>
          </w:p>
          <w:p w14:paraId="6235AF2F"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Committee may invite the Bidder to address topics such as:</w:t>
            </w:r>
            <w:r w:rsidRPr="00B84925">
              <w:rPr>
                <w:rFonts w:asciiTheme="majorBidi" w:hAnsiTheme="majorBidi" w:cstheme="majorBidi"/>
                <w:sz w:val="20"/>
                <w:szCs w:val="20"/>
              </w:rPr>
              <w:br/>
              <w:t>– the project management and coordination approach;</w:t>
            </w:r>
            <w:r w:rsidRPr="00B84925">
              <w:rPr>
                <w:rFonts w:asciiTheme="majorBidi" w:hAnsiTheme="majorBidi" w:cstheme="majorBidi"/>
                <w:sz w:val="20"/>
                <w:szCs w:val="20"/>
              </w:rPr>
              <w:br/>
              <w:t>– team mobilization readiness and logistical capabilities (e.g., 5-day deployment requirement);</w:t>
            </w:r>
            <w:r w:rsidRPr="00B84925">
              <w:rPr>
                <w:rFonts w:asciiTheme="majorBidi" w:hAnsiTheme="majorBidi" w:cstheme="majorBidi"/>
                <w:sz w:val="20"/>
                <w:szCs w:val="20"/>
              </w:rPr>
              <w:br/>
              <w:t>– relevant case studies or regulatory oversight projects;</w:t>
            </w:r>
            <w:r w:rsidRPr="00B84925">
              <w:rPr>
                <w:rFonts w:asciiTheme="majorBidi" w:hAnsiTheme="majorBidi" w:cstheme="majorBidi"/>
                <w:sz w:val="20"/>
                <w:szCs w:val="20"/>
              </w:rPr>
              <w:br/>
              <w:t>– the Bidder’s experience in safety, environmental, and operational supervision of offshore petroleum facilities; and</w:t>
            </w:r>
            <w:r w:rsidRPr="00B84925">
              <w:rPr>
                <w:rFonts w:asciiTheme="majorBidi" w:hAnsiTheme="majorBidi" w:cstheme="majorBidi"/>
                <w:sz w:val="20"/>
                <w:szCs w:val="20"/>
              </w:rPr>
              <w:br/>
              <w:t>– interaction with governmental or regulatory bodies.</w:t>
            </w:r>
          </w:p>
          <w:p w14:paraId="408E7EA8"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specific format and questions will be determined by the Ministry at its discretion and communicated to invited Bidders in advance of the videoconference.</w:t>
            </w:r>
          </w:p>
          <w:p w14:paraId="359DD20B"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w:t>
            </w:r>
          </w:p>
          <w:p w14:paraId="028FAFC4" w14:textId="77777777" w:rsidR="00B84925" w:rsidRPr="00B84925" w:rsidRDefault="00B84925" w:rsidP="00B84925">
            <w:pPr>
              <w:tabs>
                <w:tab w:val="left" w:pos="8617"/>
              </w:tabs>
              <w:bidi/>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 xml:space="preserve">Basket 2: As it is written in “Qualification” table, item 8, page 28 the VC will cover project management approach (including but not limited): </w:t>
            </w:r>
          </w:p>
          <w:p w14:paraId="5D56956B" w14:textId="77777777" w:rsidR="00B84925" w:rsidRPr="00B84925" w:rsidRDefault="00B84925" w:rsidP="00B84925">
            <w:pPr>
              <w:tabs>
                <w:tab w:val="left" w:pos="8617"/>
              </w:tabs>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 experience and expertise of PM and major Experts;</w:t>
            </w:r>
          </w:p>
          <w:p w14:paraId="5DAF11F3" w14:textId="77777777" w:rsidR="00B84925" w:rsidRPr="00B84925" w:rsidRDefault="00B84925" w:rsidP="00B84925">
            <w:pPr>
              <w:tabs>
                <w:tab w:val="left" w:pos="8617"/>
              </w:tabs>
              <w:bidi/>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 team mobilization time for the Work Order review, completion and project initialization/execution ;</w:t>
            </w:r>
          </w:p>
          <w:p w14:paraId="20506D39" w14:textId="77777777" w:rsidR="00B84925" w:rsidRPr="00B84925" w:rsidRDefault="00B84925" w:rsidP="00B84925">
            <w:pPr>
              <w:tabs>
                <w:tab w:val="left" w:pos="8617"/>
              </w:tabs>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 projects/cases/studies  with added value for the clients or O&amp;G society</w:t>
            </w:r>
            <w:r w:rsidRPr="00B84925">
              <w:rPr>
                <w:rFonts w:asciiTheme="majorBidi" w:eastAsia="Times New Roman" w:hAnsiTheme="majorBidi" w:cstheme="majorBidi"/>
                <w:sz w:val="20"/>
                <w:szCs w:val="20"/>
                <w:rtl/>
                <w:lang w:bidi="he-IL"/>
              </w:rPr>
              <w:t>;</w:t>
            </w:r>
          </w:p>
          <w:p w14:paraId="487AE44C" w14:textId="77777777" w:rsidR="00B84925" w:rsidRPr="00B84925" w:rsidRDefault="00B84925" w:rsidP="00B84925">
            <w:pPr>
              <w:tabs>
                <w:tab w:val="left" w:pos="8617"/>
              </w:tabs>
              <w:bidi/>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 xml:space="preserve">– experience of doing service for governmental organization. </w:t>
            </w:r>
          </w:p>
          <w:p w14:paraId="2D95011E" w14:textId="77777777" w:rsidR="00B84925" w:rsidRPr="00B84925" w:rsidRDefault="00B84925" w:rsidP="00B84925">
            <w:pPr>
              <w:tabs>
                <w:tab w:val="left" w:pos="8617"/>
              </w:tabs>
              <w:bidi/>
              <w:spacing w:after="200" w:line="276" w:lineRule="auto"/>
              <w:rPr>
                <w:rFonts w:asciiTheme="majorBidi" w:eastAsia="Times New Roman" w:hAnsiTheme="majorBidi" w:cstheme="majorBidi"/>
                <w:sz w:val="20"/>
                <w:szCs w:val="20"/>
              </w:rPr>
            </w:pPr>
          </w:p>
          <w:p w14:paraId="485896A4" w14:textId="77777777" w:rsidR="00B84925" w:rsidRPr="00B84925" w:rsidRDefault="00B84925" w:rsidP="00B84925">
            <w:pPr>
              <w:tabs>
                <w:tab w:val="left" w:pos="8617"/>
              </w:tabs>
              <w:bidi/>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This clarification does not amend or modify the Tender Documents</w:t>
            </w:r>
          </w:p>
          <w:p w14:paraId="11455E9F"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B84925" w:rsidRPr="00B84925" w14:paraId="48CC0405" w14:textId="77777777" w:rsidTr="00B84925">
        <w:trPr>
          <w:cantSplit/>
          <w:jc w:val="center"/>
        </w:trPr>
        <w:tc>
          <w:tcPr>
            <w:tcW w:w="421" w:type="dxa"/>
          </w:tcPr>
          <w:p w14:paraId="06F97A1C" w14:textId="4F5AD317" w:rsidR="00B84925" w:rsidRPr="00B84925" w:rsidRDefault="00B84925" w:rsidP="00B84925">
            <w:pPr>
              <w:rPr>
                <w:rFonts w:asciiTheme="majorBidi" w:eastAsia="Times New Roman" w:hAnsiTheme="majorBidi" w:cstheme="majorBidi"/>
                <w:sz w:val="20"/>
                <w:szCs w:val="20"/>
                <w:lang w:eastAsia="en-GB"/>
              </w:rPr>
            </w:pPr>
            <w:r>
              <w:rPr>
                <w:rFonts w:asciiTheme="majorBidi" w:eastAsia="Times New Roman" w:hAnsiTheme="majorBidi" w:cstheme="majorBidi"/>
                <w:sz w:val="20"/>
                <w:szCs w:val="20"/>
                <w:lang w:eastAsia="en-GB"/>
              </w:rPr>
              <w:t>18</w:t>
            </w:r>
          </w:p>
        </w:tc>
        <w:tc>
          <w:tcPr>
            <w:tcW w:w="1842" w:type="dxa"/>
          </w:tcPr>
          <w:p w14:paraId="09C7C827" w14:textId="3990E6F8" w:rsidR="00B84925" w:rsidRPr="00B84925" w:rsidRDefault="00B84925" w:rsidP="00B84925">
            <w:pPr>
              <w:rPr>
                <w:rFonts w:asciiTheme="majorBidi" w:hAnsiTheme="majorBidi" w:cstheme="majorBidi"/>
                <w:sz w:val="20"/>
                <w:szCs w:val="20"/>
                <w:lang w:val="en-US"/>
              </w:rPr>
            </w:pPr>
            <w:r w:rsidRPr="00B84925">
              <w:rPr>
                <w:rFonts w:asciiTheme="majorBidi" w:eastAsia="Times New Roman" w:hAnsiTheme="majorBidi" w:cstheme="majorBidi"/>
                <w:sz w:val="20"/>
                <w:szCs w:val="20"/>
                <w:lang w:eastAsia="en-GB"/>
              </w:rPr>
              <w:t>A1.4</w:t>
            </w:r>
            <w:r w:rsidRPr="00B84925">
              <w:rPr>
                <w:rFonts w:asciiTheme="majorBidi" w:eastAsia="Times New Roman" w:hAnsiTheme="majorBidi" w:cstheme="majorBidi"/>
                <w:sz w:val="20"/>
                <w:szCs w:val="20"/>
                <w:rtl/>
                <w:lang w:eastAsia="en-GB" w:bidi="he-IL"/>
              </w:rPr>
              <w:t>-</w:t>
            </w:r>
            <w:r w:rsidRPr="00B84925">
              <w:rPr>
                <w:rFonts w:asciiTheme="majorBidi" w:eastAsia="Times New Roman" w:hAnsiTheme="majorBidi" w:cstheme="majorBidi"/>
                <w:sz w:val="20"/>
                <w:szCs w:val="20"/>
                <w:lang w:eastAsia="en-GB" w:bidi="he-IL"/>
              </w:rPr>
              <w:t>A</w:t>
            </w:r>
            <w:r w:rsidRPr="00B84925">
              <w:rPr>
                <w:rFonts w:asciiTheme="majorBidi" w:eastAsia="Times New Roman" w:hAnsiTheme="majorBidi" w:cstheme="majorBidi"/>
                <w:sz w:val="20"/>
                <w:szCs w:val="20"/>
                <w:rtl/>
                <w:lang w:eastAsia="en-GB" w:bidi="he-IL"/>
              </w:rPr>
              <w:t>1.6</w:t>
            </w:r>
            <w:r w:rsidRPr="00B84925">
              <w:rPr>
                <w:rFonts w:asciiTheme="majorBidi" w:hAnsiTheme="majorBidi" w:cstheme="majorBidi"/>
                <w:sz w:val="20"/>
                <w:szCs w:val="20"/>
                <w:lang w:val="en-US" w:bidi="he-IL"/>
              </w:rPr>
              <w:t xml:space="preserve"> </w:t>
            </w:r>
            <w:r w:rsidRPr="00B84925">
              <w:rPr>
                <w:rFonts w:asciiTheme="majorBidi" w:hAnsiTheme="majorBidi" w:cstheme="majorBidi"/>
                <w:sz w:val="20"/>
                <w:szCs w:val="20"/>
              </w:rPr>
              <w:t xml:space="preserve"> pg.</w:t>
            </w:r>
            <w:r w:rsidRPr="00B84925">
              <w:rPr>
                <w:rFonts w:asciiTheme="majorBidi" w:hAnsiTheme="majorBidi" w:cstheme="majorBidi"/>
                <w:sz w:val="20"/>
                <w:szCs w:val="20"/>
                <w:rtl/>
                <w:lang w:bidi="he-IL"/>
              </w:rPr>
              <w:t>37</w:t>
            </w:r>
            <w:r w:rsidRPr="00B84925">
              <w:rPr>
                <w:rFonts w:asciiTheme="majorBidi" w:hAnsiTheme="majorBidi" w:cstheme="majorBidi"/>
                <w:sz w:val="20"/>
                <w:szCs w:val="20"/>
                <w:lang w:val="en-US" w:bidi="he-IL"/>
              </w:rPr>
              <w:t>,38</w:t>
            </w:r>
          </w:p>
        </w:tc>
        <w:tc>
          <w:tcPr>
            <w:tcW w:w="6379" w:type="dxa"/>
          </w:tcPr>
          <w:p w14:paraId="5056354B" w14:textId="0279ACC9"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 xml:space="preserve">Item A1.4.4 and A2.4.4 and A1.4.5 and A2.4.5 specifies that the Project Manager will provide a proposed project plan and assign the Experts that will carry out the tasks and then the Ministry will approve the plan, although may ask for modifications. </w:t>
            </w:r>
            <w:r w:rsidRPr="00B84925">
              <w:rPr>
                <w:rFonts w:asciiTheme="majorBidi" w:eastAsia="Times New Roman" w:hAnsiTheme="majorBidi" w:cstheme="majorBidi"/>
                <w:sz w:val="20"/>
                <w:szCs w:val="20"/>
                <w:lang w:eastAsia="en-GB"/>
              </w:rPr>
              <w:br/>
              <w:t>But then in items A1.5,6. A2.5,6. it says the Ministry may determine which of the team members will be assigned to each of the tasks defined by the Ministry, this contradicts items A1.4.4/A2.4.4 and A1.5.4/A2.4.4. Is the process - project proposal and allocation of staff by Project Manager and then approval by the Ministry, as written in item A1.4.4/A2.4.4 correct?</w:t>
            </w:r>
          </w:p>
        </w:tc>
        <w:tc>
          <w:tcPr>
            <w:tcW w:w="6746" w:type="dxa"/>
          </w:tcPr>
          <w:p w14:paraId="6CAB83DC" w14:textId="603DFC43"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The Ministry clarifies that the process for defining and approving the consulting team and the Work Plan shall be as follows:</w:t>
            </w:r>
          </w:p>
          <w:p w14:paraId="0AEE82B1" w14:textId="77777777" w:rsidR="00B84925" w:rsidRPr="00B84925" w:rsidRDefault="00B84925" w:rsidP="00B84925">
            <w:pPr>
              <w:numPr>
                <w:ilvl w:val="0"/>
                <w:numId w:val="10"/>
              </w:numPr>
              <w:spacing w:before="100" w:beforeAutospacing="1" w:after="100" w:afterAutospacing="1" w:line="240" w:lineRule="auto"/>
              <w:ind w:left="1440"/>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The Project Manager (PM), appointed by the Consultant, shall prepare a proposed Work Plan including the allocation of Experts and team members who are intended to carry out the consulting tasks.</w:t>
            </w:r>
          </w:p>
          <w:p w14:paraId="7B1865D6" w14:textId="77777777" w:rsidR="00B84925" w:rsidRPr="00B84925" w:rsidRDefault="00B84925" w:rsidP="00B84925">
            <w:pPr>
              <w:numPr>
                <w:ilvl w:val="0"/>
                <w:numId w:val="10"/>
              </w:numPr>
              <w:spacing w:before="100" w:beforeAutospacing="1" w:after="100" w:afterAutospacing="1" w:line="240" w:lineRule="auto"/>
              <w:ind w:left="1440"/>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The Ministry shall review and approve the proposed Work Plan and team composition in writing prior to the commencement of any work. The Ministry may request modifications or replacements of team members as it deems necessary to ensure compliance with professional and regulatory standards.</w:t>
            </w:r>
          </w:p>
          <w:p w14:paraId="7207C304" w14:textId="77777777" w:rsidR="00B84925" w:rsidRPr="00B84925" w:rsidRDefault="00B84925" w:rsidP="00B84925">
            <w:pPr>
              <w:numPr>
                <w:ilvl w:val="0"/>
                <w:numId w:val="10"/>
              </w:numPr>
              <w:spacing w:before="100" w:beforeAutospacing="1" w:after="100" w:afterAutospacing="1" w:line="240" w:lineRule="auto"/>
              <w:ind w:left="1440"/>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Upon the Ministry’s written approval, the Consultant’s PM shall have managerial discretion to coordinate day-to-day activities and internal task allocations within the approved team.</w:t>
            </w:r>
          </w:p>
          <w:p w14:paraId="33ADB0D9" w14:textId="16699D2D"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In other words, the Project Manager is responsible for the division of work between the team members, but the Ministry may request that changes be made in accordance with its requirements.</w:t>
            </w:r>
          </w:p>
          <w:p w14:paraId="29664A67"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This clarification is provided solely for interpretive purposes and does not amend the Tender Documents.</w:t>
            </w:r>
          </w:p>
          <w:p w14:paraId="16474FC5"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B84925" w:rsidRPr="00B84925" w14:paraId="7E80BDF0" w14:textId="77777777" w:rsidTr="00B84925">
        <w:trPr>
          <w:cantSplit/>
          <w:jc w:val="center"/>
        </w:trPr>
        <w:tc>
          <w:tcPr>
            <w:tcW w:w="421" w:type="dxa"/>
          </w:tcPr>
          <w:p w14:paraId="215F0B4C" w14:textId="26781EA7" w:rsidR="00B84925" w:rsidRPr="00B84925" w:rsidRDefault="00B84925" w:rsidP="00B84925">
            <w:pPr>
              <w:rPr>
                <w:rFonts w:asciiTheme="majorBidi" w:eastAsia="Times New Roman" w:hAnsiTheme="majorBidi" w:cstheme="majorBidi"/>
                <w:sz w:val="20"/>
                <w:szCs w:val="20"/>
                <w:lang w:eastAsia="en-GB"/>
              </w:rPr>
            </w:pPr>
            <w:r>
              <w:rPr>
                <w:rFonts w:asciiTheme="majorBidi" w:eastAsia="Times New Roman" w:hAnsiTheme="majorBidi" w:cstheme="majorBidi"/>
                <w:sz w:val="20"/>
                <w:szCs w:val="20"/>
                <w:lang w:eastAsia="en-GB"/>
              </w:rPr>
              <w:t>19</w:t>
            </w:r>
          </w:p>
        </w:tc>
        <w:tc>
          <w:tcPr>
            <w:tcW w:w="1842" w:type="dxa"/>
          </w:tcPr>
          <w:p w14:paraId="741D5B71" w14:textId="2BCE38A0" w:rsidR="00B84925" w:rsidRPr="00B84925" w:rsidRDefault="00B84925" w:rsidP="00B84925">
            <w:pPr>
              <w:rPr>
                <w:rFonts w:asciiTheme="majorBidi" w:eastAsia="Times New Roman" w:hAnsiTheme="majorBidi" w:cstheme="majorBidi"/>
                <w:sz w:val="20"/>
                <w:szCs w:val="20"/>
                <w:lang w:val="en-US" w:eastAsia="en-GB" w:bidi="he-IL"/>
              </w:rPr>
            </w:pPr>
            <w:r w:rsidRPr="00B84925">
              <w:rPr>
                <w:rFonts w:asciiTheme="majorBidi" w:eastAsia="Times New Roman" w:hAnsiTheme="majorBidi" w:cstheme="majorBidi"/>
                <w:sz w:val="20"/>
                <w:szCs w:val="20"/>
                <w:lang w:eastAsia="en-GB"/>
              </w:rPr>
              <w:t>A1.5</w:t>
            </w:r>
            <w:r w:rsidRPr="00B84925">
              <w:rPr>
                <w:rFonts w:asciiTheme="majorBidi" w:eastAsia="Times New Roman" w:hAnsiTheme="majorBidi" w:cstheme="majorBidi"/>
                <w:sz w:val="20"/>
                <w:szCs w:val="20"/>
                <w:rtl/>
                <w:lang w:eastAsia="en-GB" w:bidi="he-IL"/>
              </w:rPr>
              <w:t xml:space="preserve">  </w:t>
            </w:r>
            <w:r w:rsidRPr="00B84925">
              <w:rPr>
                <w:rFonts w:asciiTheme="majorBidi" w:eastAsia="Times New Roman" w:hAnsiTheme="majorBidi" w:cstheme="majorBidi"/>
                <w:sz w:val="20"/>
                <w:szCs w:val="20"/>
                <w:lang w:val="en-US" w:eastAsia="en-GB" w:bidi="he-IL"/>
              </w:rPr>
              <w:t>pg.37</w:t>
            </w:r>
          </w:p>
        </w:tc>
        <w:tc>
          <w:tcPr>
            <w:tcW w:w="6379" w:type="dxa"/>
          </w:tcPr>
          <w:p w14:paraId="2549E0BC" w14:textId="2FAE0EEC"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The Ministry’s approval of the scope of working hours detailed in the project plan does not in any way constitute any commitment by the Ministry to secure services from any of the team members for any minimal number of work hours. Furthermore, the Ministry shall be entitled to set the quota of hours required for each task at its own discretion.</w:t>
            </w:r>
          </w:p>
        </w:tc>
        <w:tc>
          <w:tcPr>
            <w:tcW w:w="6746" w:type="dxa"/>
          </w:tcPr>
          <w:p w14:paraId="3C236144" w14:textId="0E890068" w:rsidR="00B84925" w:rsidRPr="00B84925" w:rsidRDefault="00B84925" w:rsidP="00B84925">
            <w:pPr>
              <w:spacing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In accordance with Section A1.4, the number of work hours for each project shall be included in the confirmation of the Work Order provided by the Project Manager, and approved by the Ministry. This number will represent the maximum number of work hours eligible for payment under the project. In the event that the Consultant wishes to modify the approved Work Plan, including with regard to the number of work hours, these modifications will require the Ministry’s prior written approval.</w:t>
            </w:r>
          </w:p>
          <w:p w14:paraId="34573EB4"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If the Ministry does not approve an updated Work Plan or scope modification proposed by the Consultant, the Consultant shall continue to perform its services in accordance with the last Work Plan formally approved in writing by the Ministry.</w:t>
            </w:r>
          </w:p>
          <w:p w14:paraId="120D406E"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The Ministry may request additional information or revisions before granting approval and reserves the right, at its sole discretion, to determine whether a proposed change is necessary or justified in light of regulatory priorities and operational needs.</w:t>
            </w:r>
          </w:p>
          <w:p w14:paraId="216D88EA"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In exceptional circumstances—such as force majeure events, security situations, or regulatory changes—the Ministry may, at its discretion, initiate or approve corresponding adjustments to the Work Plan.</w:t>
            </w:r>
          </w:p>
          <w:p w14:paraId="2A1B5EA3" w14:textId="77777777" w:rsidR="00B84925" w:rsidRPr="00B84925" w:rsidRDefault="00B84925" w:rsidP="00B84925">
            <w:pPr>
              <w:spacing w:before="100" w:beforeAutospacing="1" w:after="100" w:afterAutospacing="1" w:line="240" w:lineRule="auto"/>
              <w:rPr>
                <w:rFonts w:asciiTheme="majorBidi" w:eastAsia="Times New Roman" w:hAnsiTheme="majorBidi" w:cstheme="majorBidi"/>
                <w:kern w:val="0"/>
                <w:sz w:val="20"/>
                <w:szCs w:val="20"/>
                <w:lang w:val="en-US" w:bidi="he-IL"/>
                <w14:ligatures w14:val="none"/>
              </w:rPr>
            </w:pPr>
            <w:r w:rsidRPr="00B84925">
              <w:rPr>
                <w:rFonts w:asciiTheme="majorBidi" w:eastAsia="Times New Roman" w:hAnsiTheme="majorBidi" w:cstheme="majorBidi"/>
                <w:kern w:val="0"/>
                <w:sz w:val="20"/>
                <w:szCs w:val="20"/>
                <w:lang w:val="en-US" w:bidi="he-IL"/>
                <w14:ligatures w14:val="none"/>
              </w:rPr>
              <w:t>This clarification is provided solely for interpretive purposes and does not amend the Tender Documents</w:t>
            </w:r>
            <w:r w:rsidRPr="00B84925">
              <w:rPr>
                <w:rFonts w:asciiTheme="majorBidi" w:eastAsia="Times New Roman" w:hAnsiTheme="majorBidi" w:cstheme="majorBidi"/>
                <w:b/>
                <w:bCs/>
                <w:kern w:val="0"/>
                <w:sz w:val="20"/>
                <w:szCs w:val="20"/>
                <w:lang w:val="en-US" w:bidi="he-IL"/>
                <w14:ligatures w14:val="none"/>
              </w:rPr>
              <w:t>.</w:t>
            </w:r>
          </w:p>
          <w:p w14:paraId="1E3F53DB" w14:textId="77777777" w:rsidR="00B84925" w:rsidRPr="00B84925" w:rsidRDefault="00B84925" w:rsidP="00B84925">
            <w:pPr>
              <w:spacing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B84925" w:rsidRPr="00B84925" w14:paraId="04D35F0F" w14:textId="77777777" w:rsidTr="00B84925">
        <w:trPr>
          <w:cantSplit/>
          <w:jc w:val="center"/>
        </w:trPr>
        <w:tc>
          <w:tcPr>
            <w:tcW w:w="421" w:type="dxa"/>
          </w:tcPr>
          <w:p w14:paraId="5E8F0CB8" w14:textId="5B05A17E" w:rsidR="00B84925" w:rsidRPr="00B84925" w:rsidRDefault="00B84925" w:rsidP="00B84925">
            <w:pPr>
              <w:rPr>
                <w:rFonts w:asciiTheme="majorBidi" w:eastAsia="Times New Roman" w:hAnsiTheme="majorBidi" w:cstheme="majorBidi"/>
                <w:sz w:val="20"/>
                <w:szCs w:val="20"/>
                <w:lang w:eastAsia="en-GB"/>
              </w:rPr>
            </w:pPr>
            <w:r>
              <w:rPr>
                <w:rFonts w:asciiTheme="majorBidi" w:eastAsia="Times New Roman" w:hAnsiTheme="majorBidi" w:cstheme="majorBidi"/>
                <w:sz w:val="20"/>
                <w:szCs w:val="20"/>
                <w:lang w:eastAsia="en-GB"/>
              </w:rPr>
              <w:t>20</w:t>
            </w:r>
          </w:p>
        </w:tc>
        <w:tc>
          <w:tcPr>
            <w:tcW w:w="1842" w:type="dxa"/>
          </w:tcPr>
          <w:p w14:paraId="30E7D486" w14:textId="00ECDE98"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A2.4(10)</w:t>
            </w:r>
          </w:p>
        </w:tc>
        <w:tc>
          <w:tcPr>
            <w:tcW w:w="6379" w:type="dxa"/>
          </w:tcPr>
          <w:p w14:paraId="48D0DED0" w14:textId="7969E59F"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rPr>
              <w:t>“The Consultant shall monitor project activity constantly” – please change this to “regularly”</w:t>
            </w:r>
          </w:p>
        </w:tc>
        <w:tc>
          <w:tcPr>
            <w:tcW w:w="6746" w:type="dxa"/>
          </w:tcPr>
          <w:p w14:paraId="05444508"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Section A1.4.10 / A2.4.10 – Clarification regarding the term “constantly monitor project activity” (Baskets 1 and 2)</w:t>
            </w:r>
          </w:p>
          <w:p w14:paraId="2718FC7B"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clarifies that the requirement for the Consultant to “monitor project activity constantly” is intended to ensure continuous and systematic oversight of the work, in accordance with the approved Work Plan and the reporting obligations defined in the Tender.</w:t>
            </w:r>
          </w:p>
          <w:p w14:paraId="049AB37C"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For the avoidance of doubt, the term “constantly” does not imply uninterrupted or real-time physical monitoring, but rather ongoing supervision and coordination carried out on a regular basis, through the reporting mechanisms defined in the Tender — including weekly status reports and monthly performance reports, as specified in Appendices A1.5.1 / A2.5.1, A1.5.10 / A2.5.10, and B7.6.</w:t>
            </w:r>
          </w:p>
          <w:p w14:paraId="3DE44362" w14:textId="77777777" w:rsidR="00B84925" w:rsidRPr="00B84925" w:rsidRDefault="00B84925" w:rsidP="00B84925">
            <w:pPr>
              <w:tabs>
                <w:tab w:val="left" w:pos="8617"/>
              </w:tabs>
              <w:bidi/>
              <w:spacing w:after="200" w:line="276" w:lineRule="auto"/>
              <w:rPr>
                <w:rFonts w:asciiTheme="majorBidi" w:eastAsia="Times New Roman" w:hAnsiTheme="majorBidi" w:cstheme="majorBidi"/>
                <w:sz w:val="20"/>
                <w:szCs w:val="20"/>
              </w:rPr>
            </w:pPr>
            <w:r w:rsidRPr="00B84925">
              <w:rPr>
                <w:rFonts w:asciiTheme="majorBidi" w:eastAsia="Times New Roman" w:hAnsiTheme="majorBidi" w:cstheme="majorBidi"/>
                <w:sz w:val="20"/>
                <w:szCs w:val="20"/>
              </w:rPr>
              <w:t>As written in Appendix A, A 2.5.1. and A.2.9: “Consultant will submit a weekly status report each Monday which includes a list of major activities and any major deviation from the project proposal as approved by the Ministry”</w:t>
            </w:r>
          </w:p>
          <w:p w14:paraId="78F9EE4D" w14:textId="77777777" w:rsidR="00B84925" w:rsidRPr="00B84925" w:rsidRDefault="00B84925" w:rsidP="00B84925">
            <w:pPr>
              <w:pStyle w:val="NormalWeb"/>
              <w:rPr>
                <w:rFonts w:asciiTheme="majorBidi" w:hAnsiTheme="majorBidi" w:cstheme="majorBidi"/>
                <w:sz w:val="20"/>
                <w:szCs w:val="20"/>
              </w:rPr>
            </w:pPr>
            <w:r w:rsidRPr="00B84925">
              <w:rPr>
                <w:rFonts w:asciiTheme="majorBidi" w:eastAsia="Times New Roman" w:hAnsiTheme="majorBidi" w:cstheme="majorBidi"/>
                <w:sz w:val="20"/>
                <w:szCs w:val="20"/>
              </w:rPr>
              <w:t>As it is written in Appendix A 2.5.10 and B. 7.6: “The Consultant will submit on the last day of each month a “Monthly Project Performance Report" detailing the activities performed and time spent within the planned scope of the projects as approved by the Ministry”. That report is important for the payments.</w:t>
            </w:r>
          </w:p>
          <w:p w14:paraId="2737E8CD"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This clarification applies to both Basket 1 and Basket 2 and is intended solely for interpretive purposes. It does not amend or modify the Tender Documents.</w:t>
            </w:r>
          </w:p>
          <w:p w14:paraId="1000AC01" w14:textId="77777777" w:rsidR="00B84925" w:rsidRPr="00B84925" w:rsidRDefault="00B84925" w:rsidP="00B84925">
            <w:pPr>
              <w:spacing w:beforeAutospacing="1" w:after="100" w:afterAutospacing="1" w:line="240" w:lineRule="auto"/>
              <w:rPr>
                <w:rFonts w:asciiTheme="majorBidi" w:eastAsia="Times New Roman" w:hAnsiTheme="majorBidi" w:cstheme="majorBidi"/>
                <w:kern w:val="0"/>
                <w:sz w:val="20"/>
                <w:szCs w:val="20"/>
                <w:lang w:val="en-US" w:bidi="he-IL"/>
                <w14:ligatures w14:val="none"/>
              </w:rPr>
            </w:pPr>
          </w:p>
        </w:tc>
      </w:tr>
      <w:tr w:rsidR="00B84925" w:rsidRPr="00B84925" w14:paraId="34547D20" w14:textId="712F718D" w:rsidTr="00B84925">
        <w:trPr>
          <w:cantSplit/>
          <w:jc w:val="center"/>
        </w:trPr>
        <w:tc>
          <w:tcPr>
            <w:tcW w:w="421" w:type="dxa"/>
          </w:tcPr>
          <w:p w14:paraId="1D60147B" w14:textId="6C64B1CC"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21</w:t>
            </w:r>
          </w:p>
        </w:tc>
        <w:tc>
          <w:tcPr>
            <w:tcW w:w="1842" w:type="dxa"/>
          </w:tcPr>
          <w:p w14:paraId="539EA420" w14:textId="56412CCA"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B2.3 pg.46</w:t>
            </w:r>
          </w:p>
        </w:tc>
        <w:tc>
          <w:tcPr>
            <w:tcW w:w="6379" w:type="dxa"/>
          </w:tcPr>
          <w:p w14:paraId="080B4B4D" w14:textId="39A7BD05" w:rsidR="00B84925" w:rsidRPr="00B84925" w:rsidRDefault="00B84925" w:rsidP="00B84925">
            <w:pPr>
              <w:rPr>
                <w:rFonts w:asciiTheme="majorBidi" w:hAnsiTheme="majorBidi" w:cstheme="majorBidi"/>
                <w:sz w:val="20"/>
                <w:szCs w:val="20"/>
              </w:rPr>
            </w:pPr>
            <w:r w:rsidRPr="00B84925">
              <w:rPr>
                <w:rFonts w:asciiTheme="majorBidi" w:eastAsia="Times New Roman" w:hAnsiTheme="majorBidi" w:cstheme="majorBidi"/>
                <w:sz w:val="20"/>
                <w:szCs w:val="20"/>
                <w:lang w:eastAsia="en-GB"/>
              </w:rPr>
              <w:t>Our insurers request this be modified to   'with reasonable skill and care.' Any requirement for 'best practice' invalidates our insurance policies.</w:t>
            </w:r>
          </w:p>
        </w:tc>
        <w:tc>
          <w:tcPr>
            <w:tcW w:w="6746" w:type="dxa"/>
          </w:tcPr>
          <w:p w14:paraId="52D3D122"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The Ministry acknowledges the Bidder’s concern regarding the use of the term </w:t>
            </w:r>
            <w:r w:rsidRPr="00B84925">
              <w:rPr>
                <w:rStyle w:val="a4"/>
                <w:rFonts w:asciiTheme="majorBidi" w:hAnsiTheme="majorBidi" w:cstheme="majorBidi"/>
                <w:sz w:val="20"/>
                <w:szCs w:val="20"/>
              </w:rPr>
              <w:t>“best practice standards.”</w:t>
            </w:r>
          </w:p>
          <w:p w14:paraId="230AE20A"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Accordingly, the Ministry clarifies as follows:</w:t>
            </w:r>
          </w:p>
          <w:p w14:paraId="738E678E" w14:textId="77777777" w:rsidR="00B84925" w:rsidRPr="00B84925" w:rsidRDefault="00B84925" w:rsidP="00B84925">
            <w:pPr>
              <w:numPr>
                <w:ilvl w:val="0"/>
                <w:numId w:val="1"/>
              </w:numPr>
              <w:spacing w:before="100" w:beforeAutospacing="1" w:after="100" w:afterAutospacing="1" w:line="240" w:lineRule="auto"/>
              <w:rPr>
                <w:rFonts w:asciiTheme="majorBidi" w:hAnsiTheme="majorBidi" w:cstheme="majorBidi"/>
                <w:sz w:val="20"/>
                <w:szCs w:val="20"/>
              </w:rPr>
            </w:pPr>
            <w:r w:rsidRPr="00B84925">
              <w:rPr>
                <w:rStyle w:val="a5"/>
                <w:rFonts w:asciiTheme="majorBidi" w:hAnsiTheme="majorBidi" w:cstheme="majorBidi"/>
                <w:sz w:val="20"/>
                <w:szCs w:val="20"/>
              </w:rPr>
              <w:t>For Basket 1:</w:t>
            </w:r>
            <w:r w:rsidRPr="00B84925">
              <w:rPr>
                <w:rFonts w:asciiTheme="majorBidi" w:hAnsiTheme="majorBidi" w:cstheme="majorBidi"/>
                <w:sz w:val="20"/>
                <w:szCs w:val="20"/>
              </w:rPr>
              <w:br/>
              <w:t>The Ministry agrees to amend the clause to align with the internationally accepted formulation.</w:t>
            </w:r>
            <w:r w:rsidRPr="00B84925">
              <w:rPr>
                <w:rFonts w:asciiTheme="majorBidi" w:hAnsiTheme="majorBidi" w:cstheme="majorBidi"/>
                <w:sz w:val="20"/>
                <w:szCs w:val="20"/>
              </w:rPr>
              <w:br/>
              <w:t>The revised text shall read as follows:</w:t>
            </w:r>
          </w:p>
          <w:p w14:paraId="3927AF31" w14:textId="77777777" w:rsidR="00B84925" w:rsidRPr="00B84925" w:rsidRDefault="00B84925" w:rsidP="00B84925">
            <w:pPr>
              <w:pStyle w:val="NormalWeb"/>
              <w:ind w:left="720"/>
              <w:rPr>
                <w:rFonts w:asciiTheme="majorBidi" w:hAnsiTheme="majorBidi" w:cstheme="majorBidi"/>
                <w:sz w:val="20"/>
                <w:szCs w:val="20"/>
              </w:rPr>
            </w:pPr>
            <w:r w:rsidRPr="00B84925">
              <w:rPr>
                <w:rStyle w:val="a4"/>
                <w:rFonts w:asciiTheme="majorBidi" w:hAnsiTheme="majorBidi" w:cstheme="majorBidi"/>
                <w:sz w:val="20"/>
                <w:szCs w:val="20"/>
              </w:rPr>
              <w:t>“The Consultant shall perform all Services in accordance with all applicable laws and regulations, and with reasonable skill and care.”</w:t>
            </w:r>
            <w:r w:rsidRPr="00B84925">
              <w:rPr>
                <w:rFonts w:asciiTheme="majorBidi" w:hAnsiTheme="majorBidi" w:cstheme="majorBidi"/>
                <w:sz w:val="20"/>
                <w:szCs w:val="20"/>
              </w:rPr>
              <w:br/>
              <w:t>This wording is considered sufficient to ensure professional performance under the scope of Basket 1, while maintaining consistency with professional liability insurance frameworks.</w:t>
            </w:r>
          </w:p>
          <w:p w14:paraId="4278C756" w14:textId="77777777" w:rsidR="00B84925" w:rsidRPr="00B84925" w:rsidRDefault="00B84925" w:rsidP="00B84925">
            <w:pPr>
              <w:numPr>
                <w:ilvl w:val="0"/>
                <w:numId w:val="1"/>
              </w:numPr>
              <w:spacing w:before="100" w:beforeAutospacing="1" w:after="100" w:afterAutospacing="1" w:line="240" w:lineRule="auto"/>
              <w:rPr>
                <w:rFonts w:asciiTheme="majorBidi" w:hAnsiTheme="majorBidi" w:cstheme="majorBidi"/>
                <w:sz w:val="20"/>
                <w:szCs w:val="20"/>
              </w:rPr>
            </w:pPr>
            <w:r w:rsidRPr="00B84925">
              <w:rPr>
                <w:rStyle w:val="a5"/>
                <w:rFonts w:asciiTheme="majorBidi" w:hAnsiTheme="majorBidi" w:cstheme="majorBidi"/>
                <w:sz w:val="20"/>
                <w:szCs w:val="20"/>
              </w:rPr>
              <w:t>For Basket 2:</w:t>
            </w:r>
            <w:r w:rsidRPr="00B84925">
              <w:rPr>
                <w:rFonts w:asciiTheme="majorBidi" w:hAnsiTheme="majorBidi" w:cstheme="majorBidi"/>
                <w:sz w:val="20"/>
                <w:szCs w:val="20"/>
              </w:rPr>
              <w:br/>
              <w:t xml:space="preserve">The Ministry maintains the original wording requiring performance in accordance with </w:t>
            </w:r>
            <w:r w:rsidRPr="00B84925">
              <w:rPr>
                <w:rStyle w:val="a4"/>
                <w:rFonts w:asciiTheme="majorBidi" w:hAnsiTheme="majorBidi" w:cstheme="majorBidi"/>
                <w:sz w:val="20"/>
                <w:szCs w:val="20"/>
              </w:rPr>
              <w:t>“best practice standards.”</w:t>
            </w:r>
            <w:r w:rsidRPr="00B84925">
              <w:rPr>
                <w:rFonts w:asciiTheme="majorBidi" w:hAnsiTheme="majorBidi" w:cstheme="majorBidi"/>
                <w:sz w:val="20"/>
                <w:szCs w:val="20"/>
              </w:rPr>
              <w:br/>
              <w:t>This requirement reflects the critical nature of the professional evaluations and regulatory advisory functions included in Basket 2, which correspond to the same standards demanded by the Ministry from license holders and operators under the Petroleum Law.</w:t>
            </w:r>
            <w:r w:rsidRPr="00B84925">
              <w:rPr>
                <w:rFonts w:asciiTheme="majorBidi" w:hAnsiTheme="majorBidi" w:cstheme="majorBidi"/>
                <w:sz w:val="20"/>
                <w:szCs w:val="20"/>
              </w:rPr>
              <w:br/>
              <w:t>Therefore, adherence to “best practice” is an integral component of the technical and evaluative expectations forming part of the qualification and scoring criteria for Basket 2.</w:t>
            </w:r>
          </w:p>
          <w:p w14:paraId="44241E04" w14:textId="77777777" w:rsidR="00B84925" w:rsidRPr="00B84925" w:rsidRDefault="00B84925" w:rsidP="00B84925">
            <w:pPr>
              <w:rPr>
                <w:rFonts w:asciiTheme="majorBidi" w:hAnsiTheme="majorBidi" w:cstheme="majorBidi"/>
                <w:sz w:val="20"/>
                <w:szCs w:val="20"/>
              </w:rPr>
            </w:pPr>
          </w:p>
        </w:tc>
      </w:tr>
      <w:tr w:rsidR="00B84925" w:rsidRPr="00B84925" w14:paraId="718553AB" w14:textId="38A05998" w:rsidTr="00B84925">
        <w:trPr>
          <w:cantSplit/>
          <w:jc w:val="center"/>
        </w:trPr>
        <w:tc>
          <w:tcPr>
            <w:tcW w:w="421" w:type="dxa"/>
          </w:tcPr>
          <w:p w14:paraId="0228C779" w14:textId="6E63F634"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22</w:t>
            </w:r>
          </w:p>
        </w:tc>
        <w:tc>
          <w:tcPr>
            <w:tcW w:w="1842" w:type="dxa"/>
          </w:tcPr>
          <w:p w14:paraId="2850F849" w14:textId="09FE7706"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B5.2 pg.46</w:t>
            </w:r>
          </w:p>
        </w:tc>
        <w:tc>
          <w:tcPr>
            <w:tcW w:w="6379" w:type="dxa"/>
          </w:tcPr>
          <w:p w14:paraId="4551E32F" w14:textId="36DDA947"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In our experience, banks will define the wording of the Performance Guarantee letter and will not allow the provision of alternative wording. Noting the requirement for a bank taken from the list in 5.1, please confirm that the wording provided by the Bank will be acceptable.</w:t>
            </w:r>
          </w:p>
        </w:tc>
        <w:tc>
          <w:tcPr>
            <w:tcW w:w="6746" w:type="dxa"/>
          </w:tcPr>
          <w:p w14:paraId="4BE5B38A"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notes the Bidder’s comment.</w:t>
            </w:r>
          </w:p>
          <w:p w14:paraId="46258AC7"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Performance Guarantee shall be provided in accordance with the form attached as Appendix K1/K2 to the Tender.</w:t>
            </w:r>
          </w:p>
          <w:p w14:paraId="2949BF5F"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However, the Ministry acknowledges that in practice, commercial banks and financial institutions may use their own standard wording for guarantees. Therefore, the Ministry will accept a Performance Guarantee issued on the bank’s standard template </w:t>
            </w:r>
            <w:r w:rsidRPr="00B84925">
              <w:rPr>
                <w:rStyle w:val="a5"/>
                <w:rFonts w:asciiTheme="majorBidi" w:hAnsiTheme="majorBidi" w:cstheme="majorBidi"/>
                <w:b w:val="0"/>
                <w:bCs w:val="0"/>
                <w:sz w:val="20"/>
                <w:szCs w:val="20"/>
              </w:rPr>
              <w:t>provided that</w:t>
            </w:r>
            <w:r w:rsidRPr="00B84925">
              <w:rPr>
                <w:rFonts w:asciiTheme="majorBidi" w:hAnsiTheme="majorBidi" w:cstheme="majorBidi"/>
                <w:sz w:val="20"/>
                <w:szCs w:val="20"/>
              </w:rPr>
              <w:t>:</w:t>
            </w:r>
          </w:p>
          <w:p w14:paraId="0D3F7981" w14:textId="77777777" w:rsidR="00B84925" w:rsidRPr="00B84925" w:rsidRDefault="00B84925" w:rsidP="00B84925">
            <w:pPr>
              <w:numPr>
                <w:ilvl w:val="0"/>
                <w:numId w:val="2"/>
              </w:numPr>
              <w:spacing w:before="100" w:beforeAutospacing="1" w:after="100" w:afterAutospacing="1" w:line="240" w:lineRule="auto"/>
              <w:rPr>
                <w:rFonts w:asciiTheme="majorBidi" w:hAnsiTheme="majorBidi" w:cstheme="majorBidi"/>
                <w:sz w:val="20"/>
                <w:szCs w:val="20"/>
              </w:rPr>
            </w:pPr>
            <w:r w:rsidRPr="00B84925">
              <w:rPr>
                <w:rFonts w:asciiTheme="majorBidi" w:hAnsiTheme="majorBidi" w:cstheme="majorBidi"/>
                <w:sz w:val="20"/>
                <w:szCs w:val="20"/>
              </w:rPr>
              <w:t>it preserves the same</w:t>
            </w:r>
            <w:r w:rsidRPr="00B84925">
              <w:rPr>
                <w:rFonts w:asciiTheme="majorBidi" w:hAnsiTheme="majorBidi" w:cstheme="majorBidi"/>
                <w:b/>
                <w:bCs/>
                <w:sz w:val="20"/>
                <w:szCs w:val="20"/>
              </w:rPr>
              <w:t xml:space="preserve"> </w:t>
            </w:r>
            <w:r w:rsidRPr="00B84925">
              <w:rPr>
                <w:rStyle w:val="a5"/>
                <w:rFonts w:asciiTheme="majorBidi" w:hAnsiTheme="majorBidi" w:cstheme="majorBidi"/>
                <w:b w:val="0"/>
                <w:bCs w:val="0"/>
                <w:sz w:val="20"/>
                <w:szCs w:val="20"/>
              </w:rPr>
              <w:t>substantive provisions</w:t>
            </w:r>
            <w:r w:rsidRPr="00B84925">
              <w:rPr>
                <w:rFonts w:asciiTheme="majorBidi" w:hAnsiTheme="majorBidi" w:cstheme="majorBidi"/>
                <w:b/>
                <w:bCs/>
                <w:sz w:val="20"/>
                <w:szCs w:val="20"/>
              </w:rPr>
              <w:t xml:space="preserve"> </w:t>
            </w:r>
            <w:r w:rsidRPr="00B84925">
              <w:rPr>
                <w:rFonts w:asciiTheme="majorBidi" w:hAnsiTheme="majorBidi" w:cstheme="majorBidi"/>
                <w:sz w:val="20"/>
                <w:szCs w:val="20"/>
              </w:rPr>
              <w:t>as Appendix K1/K2, including unconditional, autonomous, and irrevocable payment upon written demand by the Ministry within seven (7) days; and</w:t>
            </w:r>
          </w:p>
          <w:p w14:paraId="5725031B" w14:textId="77777777" w:rsidR="00B84925" w:rsidRPr="00B84925" w:rsidRDefault="00B84925" w:rsidP="00B84925">
            <w:pPr>
              <w:numPr>
                <w:ilvl w:val="0"/>
                <w:numId w:val="2"/>
              </w:numPr>
              <w:spacing w:before="100" w:beforeAutospacing="1" w:after="100" w:afterAutospacing="1" w:line="240" w:lineRule="auto"/>
              <w:rPr>
                <w:rFonts w:asciiTheme="majorBidi" w:hAnsiTheme="majorBidi" w:cstheme="majorBidi"/>
                <w:sz w:val="20"/>
                <w:szCs w:val="20"/>
              </w:rPr>
            </w:pPr>
            <w:r w:rsidRPr="00B84925">
              <w:rPr>
                <w:rFonts w:asciiTheme="majorBidi" w:hAnsiTheme="majorBidi" w:cstheme="majorBidi"/>
                <w:sz w:val="20"/>
                <w:szCs w:val="20"/>
              </w:rPr>
              <w:t>it is issued by a bank meeting the requirements set forth in Section 5.1 of the Tender.</w:t>
            </w:r>
          </w:p>
          <w:p w14:paraId="7A99E366" w14:textId="770B7FB3"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The Bidder may provide a template for the Performance Guarantee for the Ministry's review up to seven (7) days before the Submission Deadline. Any Performance Guarantee that is not in accordance with the form attached as Appendix K1/K2 to the Tender and that has not been reviewed and approved by the Ministry may be deemed unacceptable and this may result in the disqualification of the Bid, subject to the Ministry's sole discretion. </w:t>
            </w:r>
          </w:p>
        </w:tc>
      </w:tr>
      <w:tr w:rsidR="00B84925" w:rsidRPr="00B84925" w14:paraId="0CAA60DF" w14:textId="7CB5AF52" w:rsidTr="00B84925">
        <w:trPr>
          <w:cantSplit/>
          <w:jc w:val="center"/>
        </w:trPr>
        <w:tc>
          <w:tcPr>
            <w:tcW w:w="421" w:type="dxa"/>
          </w:tcPr>
          <w:p w14:paraId="4DD2C006" w14:textId="08C96744"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23</w:t>
            </w:r>
          </w:p>
        </w:tc>
        <w:tc>
          <w:tcPr>
            <w:tcW w:w="1842" w:type="dxa"/>
          </w:tcPr>
          <w:p w14:paraId="22E7BFE8" w14:textId="71791976"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B6.6 pg.47</w:t>
            </w:r>
          </w:p>
        </w:tc>
        <w:tc>
          <w:tcPr>
            <w:tcW w:w="6379" w:type="dxa"/>
          </w:tcPr>
          <w:p w14:paraId="2FB9F9A1" w14:textId="5E50E0D5" w:rsidR="00B84925" w:rsidRPr="00B84925" w:rsidRDefault="00B84925" w:rsidP="00B84925">
            <w:pPr>
              <w:rPr>
                <w:rFonts w:asciiTheme="majorBidi" w:hAnsiTheme="majorBidi" w:cstheme="majorBidi"/>
                <w:sz w:val="20"/>
                <w:szCs w:val="20"/>
              </w:rPr>
            </w:pPr>
            <w:r w:rsidRPr="00B84925">
              <w:rPr>
                <w:rFonts w:asciiTheme="majorBidi" w:eastAsia="Times New Roman" w:hAnsiTheme="majorBidi" w:cstheme="majorBidi"/>
                <w:sz w:val="20"/>
                <w:szCs w:val="20"/>
                <w:lang w:eastAsia="en-GB"/>
              </w:rPr>
              <w:t>Our insurers request this be modified to 'with reasonable skill and care.' Any requirement for 'highest degree of professional skill and expertise' invalidates our insurance policies.</w:t>
            </w:r>
          </w:p>
        </w:tc>
        <w:tc>
          <w:tcPr>
            <w:tcW w:w="6746" w:type="dxa"/>
          </w:tcPr>
          <w:p w14:paraId="11B09248"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has reviewed the Bidder’s comment.</w:t>
            </w:r>
          </w:p>
          <w:p w14:paraId="3DE8957F" w14:textId="77777777" w:rsidR="00B84925" w:rsidRPr="00B84925" w:rsidRDefault="00B84925" w:rsidP="00B84925">
            <w:pPr>
              <w:numPr>
                <w:ilvl w:val="0"/>
                <w:numId w:val="3"/>
              </w:numPr>
              <w:spacing w:before="100" w:beforeAutospacing="1" w:after="100" w:afterAutospacing="1" w:line="240" w:lineRule="auto"/>
              <w:rPr>
                <w:rFonts w:asciiTheme="majorBidi" w:hAnsiTheme="majorBidi" w:cstheme="majorBidi"/>
                <w:sz w:val="20"/>
                <w:szCs w:val="20"/>
              </w:rPr>
            </w:pPr>
            <w:r w:rsidRPr="00B84925">
              <w:rPr>
                <w:rStyle w:val="a5"/>
                <w:rFonts w:asciiTheme="majorBidi" w:hAnsiTheme="majorBidi" w:cstheme="majorBidi"/>
                <w:sz w:val="20"/>
                <w:szCs w:val="20"/>
              </w:rPr>
              <w:t>For Basket 1:</w:t>
            </w:r>
            <w:r w:rsidRPr="00B84925">
              <w:rPr>
                <w:rFonts w:asciiTheme="majorBidi" w:hAnsiTheme="majorBidi" w:cstheme="majorBidi"/>
                <w:sz w:val="20"/>
                <w:szCs w:val="20"/>
              </w:rPr>
              <w:br/>
              <w:t>The Ministry agrees to align the wording with the standard formulation commonly used in international consultancy agreements.</w:t>
            </w:r>
            <w:r w:rsidRPr="00B84925">
              <w:rPr>
                <w:rFonts w:asciiTheme="majorBidi" w:hAnsiTheme="majorBidi" w:cstheme="majorBidi"/>
                <w:sz w:val="20"/>
                <w:szCs w:val="20"/>
              </w:rPr>
              <w:br/>
              <w:t>The clause shall therefore be amended to read:</w:t>
            </w:r>
          </w:p>
          <w:p w14:paraId="1EBBEB9A" w14:textId="77777777" w:rsidR="00B84925" w:rsidRPr="00B84925" w:rsidRDefault="00B84925" w:rsidP="00B84925">
            <w:pPr>
              <w:pStyle w:val="NormalWeb"/>
              <w:ind w:left="720"/>
              <w:rPr>
                <w:rFonts w:asciiTheme="majorBidi" w:hAnsiTheme="majorBidi" w:cstheme="majorBidi"/>
                <w:sz w:val="20"/>
                <w:szCs w:val="20"/>
              </w:rPr>
            </w:pPr>
            <w:r w:rsidRPr="00B84925">
              <w:rPr>
                <w:rStyle w:val="a4"/>
                <w:rFonts w:asciiTheme="majorBidi" w:hAnsiTheme="majorBidi" w:cstheme="majorBidi"/>
                <w:sz w:val="20"/>
                <w:szCs w:val="20"/>
              </w:rPr>
              <w:t>“The Services and all deliverables hereunder shall be performed with reasonable skill and care, and in accordance with all applicable laws and regulations.”</w:t>
            </w:r>
          </w:p>
          <w:p w14:paraId="2A4A2AD8" w14:textId="6733ECE5" w:rsidR="00B84925" w:rsidRPr="00B84925" w:rsidRDefault="00B84925" w:rsidP="00B84925">
            <w:pPr>
              <w:numPr>
                <w:ilvl w:val="0"/>
                <w:numId w:val="3"/>
              </w:numPr>
              <w:spacing w:before="100" w:beforeAutospacing="1" w:after="100" w:afterAutospacing="1" w:line="240" w:lineRule="auto"/>
              <w:rPr>
                <w:rFonts w:asciiTheme="majorBidi" w:hAnsiTheme="majorBidi" w:cstheme="majorBidi"/>
                <w:sz w:val="20"/>
                <w:szCs w:val="20"/>
              </w:rPr>
            </w:pPr>
            <w:r w:rsidRPr="00B84925">
              <w:rPr>
                <w:rStyle w:val="a5"/>
                <w:rFonts w:asciiTheme="majorBidi" w:hAnsiTheme="majorBidi" w:cstheme="majorBidi"/>
                <w:sz w:val="20"/>
                <w:szCs w:val="20"/>
              </w:rPr>
              <w:t>For Basket 2:</w:t>
            </w:r>
            <w:r w:rsidRPr="00B84925">
              <w:rPr>
                <w:rFonts w:asciiTheme="majorBidi" w:hAnsiTheme="majorBidi" w:cstheme="majorBidi"/>
                <w:sz w:val="20"/>
                <w:szCs w:val="20"/>
              </w:rPr>
              <w:br/>
              <w:t xml:space="preserve">The Ministry maintains the original wording requiring that services and deliverables be provided with </w:t>
            </w:r>
            <w:r w:rsidRPr="00B84925">
              <w:rPr>
                <w:rStyle w:val="a4"/>
                <w:rFonts w:asciiTheme="majorBidi" w:hAnsiTheme="majorBidi" w:cstheme="majorBidi"/>
                <w:sz w:val="20"/>
                <w:szCs w:val="20"/>
              </w:rPr>
              <w:t xml:space="preserve">“the highest degree of professional skill and expertise.” Under those the Ministry means that the Consultant takes responsibility for the implementation of the project in accordance with “Best international practice”: Best International Petroleum Industry Practices” means practises in accordance with the most up to date international standards that are generally accepted in the international petroleum industry for the conduct of petroleum activities taking into account the relevant safety, economic, technological and environmental aspects. </w:t>
            </w:r>
            <w:r w:rsidRPr="00B84925">
              <w:rPr>
                <w:rFonts w:asciiTheme="majorBidi" w:hAnsiTheme="majorBidi" w:cstheme="majorBidi"/>
                <w:sz w:val="20"/>
                <w:szCs w:val="20"/>
              </w:rPr>
              <w:br/>
            </w:r>
          </w:p>
          <w:p w14:paraId="6113D2F3" w14:textId="77777777" w:rsidR="00B84925" w:rsidRPr="00B84925" w:rsidRDefault="00B84925" w:rsidP="00B84925">
            <w:pPr>
              <w:rPr>
                <w:rFonts w:asciiTheme="majorBidi" w:hAnsiTheme="majorBidi" w:cstheme="majorBidi"/>
                <w:sz w:val="20"/>
                <w:szCs w:val="20"/>
              </w:rPr>
            </w:pPr>
          </w:p>
        </w:tc>
      </w:tr>
      <w:tr w:rsidR="00B84925" w:rsidRPr="00B84925" w14:paraId="722E911B" w14:textId="50909F59" w:rsidTr="00B84925">
        <w:trPr>
          <w:cantSplit/>
          <w:jc w:val="center"/>
        </w:trPr>
        <w:tc>
          <w:tcPr>
            <w:tcW w:w="421" w:type="dxa"/>
          </w:tcPr>
          <w:p w14:paraId="6F17EB35" w14:textId="480A8DA6"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24</w:t>
            </w:r>
          </w:p>
        </w:tc>
        <w:tc>
          <w:tcPr>
            <w:tcW w:w="1842" w:type="dxa"/>
          </w:tcPr>
          <w:p w14:paraId="7F52F425" w14:textId="291D9633"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B7.2 pg.48</w:t>
            </w:r>
          </w:p>
        </w:tc>
        <w:tc>
          <w:tcPr>
            <w:tcW w:w="6379" w:type="dxa"/>
          </w:tcPr>
          <w:p w14:paraId="2C6D24EE" w14:textId="57D61EDA" w:rsidR="00B84925" w:rsidRPr="00B84925" w:rsidRDefault="00B84925" w:rsidP="00B84925">
            <w:pPr>
              <w:rPr>
                <w:rFonts w:asciiTheme="majorBidi" w:hAnsiTheme="majorBidi" w:cstheme="majorBidi"/>
                <w:sz w:val="20"/>
                <w:szCs w:val="20"/>
              </w:rPr>
            </w:pPr>
            <w:r w:rsidRPr="00B84925">
              <w:rPr>
                <w:rFonts w:asciiTheme="majorBidi" w:eastAsia="Times New Roman" w:hAnsiTheme="majorBidi" w:cstheme="majorBidi"/>
                <w:sz w:val="20"/>
                <w:szCs w:val="20"/>
                <w:lang w:eastAsia="en-GB"/>
              </w:rPr>
              <w:t>The hourly rate as proposed by Consultant in its Price Quote in Appendix C1/C2 is final and absolute and shall not be subject to any price increases, indexes or Accountant General updates, for the entire Term of Agreement.</w:t>
            </w:r>
          </w:p>
        </w:tc>
        <w:tc>
          <w:tcPr>
            <w:tcW w:w="6746" w:type="dxa"/>
          </w:tcPr>
          <w:p w14:paraId="7C132FBE"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As a rule, the hourly rates quoted by the Consultant in its Price Proposal (Appendix C1/C2) shall remain fixed and final for the entire duration of the Agreement.</w:t>
            </w:r>
          </w:p>
          <w:p w14:paraId="071B796C"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However, in the event of a material increase in the officially published Consumer Price Index (CPI) or another comparable inflation index, the Consultant may, </w:t>
            </w:r>
            <w:r w:rsidRPr="00B84925">
              <w:rPr>
                <w:rStyle w:val="a5"/>
                <w:rFonts w:asciiTheme="majorBidi" w:hAnsiTheme="majorBidi" w:cstheme="majorBidi"/>
                <w:b w:val="0"/>
                <w:bCs w:val="0"/>
                <w:sz w:val="20"/>
                <w:szCs w:val="20"/>
              </w:rPr>
              <w:t>once per</w:t>
            </w:r>
            <w:r w:rsidRPr="00B84925">
              <w:rPr>
                <w:rStyle w:val="a5"/>
                <w:rFonts w:asciiTheme="majorBidi" w:hAnsiTheme="majorBidi" w:cstheme="majorBidi"/>
                <w:sz w:val="20"/>
                <w:szCs w:val="20"/>
              </w:rPr>
              <w:t xml:space="preserve"> </w:t>
            </w:r>
            <w:r w:rsidRPr="00B84925">
              <w:rPr>
                <w:rStyle w:val="a5"/>
                <w:rFonts w:asciiTheme="majorBidi" w:hAnsiTheme="majorBidi" w:cstheme="majorBidi"/>
                <w:b w:val="0"/>
                <w:bCs w:val="0"/>
                <w:sz w:val="20"/>
                <w:szCs w:val="20"/>
              </w:rPr>
              <w:t>calendar year</w:t>
            </w:r>
            <w:r w:rsidRPr="00B84925">
              <w:rPr>
                <w:rFonts w:asciiTheme="majorBidi" w:hAnsiTheme="majorBidi" w:cstheme="majorBidi"/>
                <w:sz w:val="20"/>
                <w:szCs w:val="20"/>
              </w:rPr>
              <w:t xml:space="preserve">, submit </w:t>
            </w:r>
            <w:r w:rsidRPr="00B84925">
              <w:rPr>
                <w:rFonts w:asciiTheme="majorBidi" w:hAnsiTheme="majorBidi" w:cstheme="majorBidi"/>
                <w:b/>
                <w:bCs/>
                <w:sz w:val="20"/>
                <w:szCs w:val="20"/>
              </w:rPr>
              <w:t xml:space="preserve">a </w:t>
            </w:r>
            <w:r w:rsidRPr="00B84925">
              <w:rPr>
                <w:rStyle w:val="a5"/>
                <w:rFonts w:asciiTheme="majorBidi" w:hAnsiTheme="majorBidi" w:cstheme="majorBidi"/>
                <w:b w:val="0"/>
                <w:bCs w:val="0"/>
                <w:sz w:val="20"/>
                <w:szCs w:val="20"/>
              </w:rPr>
              <w:t>reasoned written request</w:t>
            </w:r>
            <w:r w:rsidRPr="00B84925">
              <w:rPr>
                <w:rFonts w:asciiTheme="majorBidi" w:hAnsiTheme="majorBidi" w:cstheme="majorBidi"/>
                <w:sz w:val="20"/>
                <w:szCs w:val="20"/>
              </w:rPr>
              <w:t xml:space="preserve"> for a rate review.</w:t>
            </w:r>
          </w:p>
          <w:p w14:paraId="440DDF34"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Any such request shall be </w:t>
            </w:r>
            <w:r w:rsidRPr="00B84925">
              <w:rPr>
                <w:rStyle w:val="a5"/>
                <w:rFonts w:asciiTheme="majorBidi" w:hAnsiTheme="majorBidi" w:cstheme="majorBidi"/>
                <w:b w:val="0"/>
                <w:bCs w:val="0"/>
                <w:sz w:val="20"/>
                <w:szCs w:val="20"/>
              </w:rPr>
              <w:t>considered in good faith</w:t>
            </w:r>
            <w:r w:rsidRPr="00B84925">
              <w:rPr>
                <w:rFonts w:asciiTheme="majorBidi" w:hAnsiTheme="majorBidi" w:cstheme="majorBidi"/>
                <w:sz w:val="20"/>
                <w:szCs w:val="20"/>
              </w:rPr>
              <w:t xml:space="preserve"> by the Ministry, </w:t>
            </w:r>
            <w:r w:rsidRPr="00B84925">
              <w:rPr>
                <w:rStyle w:val="a5"/>
                <w:rFonts w:asciiTheme="majorBidi" w:hAnsiTheme="majorBidi" w:cstheme="majorBidi"/>
                <w:b w:val="0"/>
                <w:bCs w:val="0"/>
                <w:sz w:val="20"/>
                <w:szCs w:val="20"/>
              </w:rPr>
              <w:t>at its sole and</w:t>
            </w:r>
            <w:r w:rsidRPr="00B84925">
              <w:rPr>
                <w:rStyle w:val="a5"/>
                <w:rFonts w:asciiTheme="majorBidi" w:hAnsiTheme="majorBidi" w:cstheme="majorBidi"/>
                <w:sz w:val="20"/>
                <w:szCs w:val="20"/>
              </w:rPr>
              <w:t xml:space="preserve"> </w:t>
            </w:r>
            <w:r w:rsidRPr="00B84925">
              <w:rPr>
                <w:rStyle w:val="a5"/>
                <w:rFonts w:asciiTheme="majorBidi" w:hAnsiTheme="majorBidi" w:cstheme="majorBidi"/>
                <w:b w:val="0"/>
                <w:bCs w:val="0"/>
                <w:sz w:val="20"/>
                <w:szCs w:val="20"/>
              </w:rPr>
              <w:t>absolute discretion</w:t>
            </w:r>
            <w:r w:rsidRPr="00B84925">
              <w:rPr>
                <w:rFonts w:asciiTheme="majorBidi" w:hAnsiTheme="majorBidi" w:cstheme="majorBidi"/>
                <w:sz w:val="20"/>
                <w:szCs w:val="20"/>
              </w:rPr>
              <w:t>, taking into account all relevant circumstances, including budgetary constraints and prevailing market conditions.</w:t>
            </w:r>
          </w:p>
          <w:p w14:paraId="6338A5DB"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The submission of such a request shall </w:t>
            </w:r>
            <w:r w:rsidRPr="00B84925">
              <w:rPr>
                <w:rStyle w:val="a5"/>
                <w:rFonts w:asciiTheme="majorBidi" w:hAnsiTheme="majorBidi" w:cstheme="majorBidi"/>
                <w:b w:val="0"/>
                <w:bCs w:val="0"/>
                <w:sz w:val="20"/>
                <w:szCs w:val="20"/>
              </w:rPr>
              <w:t>not suspend or delay</w:t>
            </w:r>
            <w:r w:rsidRPr="00B84925">
              <w:rPr>
                <w:rFonts w:asciiTheme="majorBidi" w:hAnsiTheme="majorBidi" w:cstheme="majorBidi"/>
                <w:sz w:val="20"/>
                <w:szCs w:val="20"/>
              </w:rPr>
              <w:t xml:space="preserve"> the Consultant’s obligation to perform the Services.</w:t>
            </w:r>
          </w:p>
          <w:p w14:paraId="0F3FA5D8" w14:textId="77777777" w:rsidR="00B84925" w:rsidRPr="00B84925" w:rsidRDefault="00B84925" w:rsidP="00B84925">
            <w:pPr>
              <w:pStyle w:val="NormalWeb"/>
              <w:rPr>
                <w:rFonts w:asciiTheme="majorBidi" w:hAnsiTheme="majorBidi" w:cstheme="majorBidi"/>
                <w:b/>
                <w:bCs/>
                <w:sz w:val="20"/>
                <w:szCs w:val="20"/>
              </w:rPr>
            </w:pPr>
            <w:r w:rsidRPr="00B84925">
              <w:rPr>
                <w:rFonts w:asciiTheme="majorBidi" w:hAnsiTheme="majorBidi" w:cstheme="majorBidi"/>
                <w:sz w:val="20"/>
                <w:szCs w:val="20"/>
              </w:rPr>
              <w:t xml:space="preserve">For the avoidance of doubt, no automatic indexation or entitlement to any adjustment shall apply, and any modification, if approved, shall require the Ministry’s </w:t>
            </w:r>
            <w:r w:rsidRPr="00B84925">
              <w:rPr>
                <w:rStyle w:val="a5"/>
                <w:rFonts w:asciiTheme="majorBidi" w:hAnsiTheme="majorBidi" w:cstheme="majorBidi"/>
                <w:b w:val="0"/>
                <w:bCs w:val="0"/>
                <w:sz w:val="20"/>
                <w:szCs w:val="20"/>
              </w:rPr>
              <w:t>prior written consent</w:t>
            </w:r>
            <w:r w:rsidRPr="00B84925">
              <w:rPr>
                <w:rFonts w:asciiTheme="majorBidi" w:hAnsiTheme="majorBidi" w:cstheme="majorBidi"/>
                <w:b/>
                <w:bCs/>
                <w:sz w:val="20"/>
                <w:szCs w:val="20"/>
              </w:rPr>
              <w:t>.</w:t>
            </w:r>
          </w:p>
          <w:p w14:paraId="573E08D3" w14:textId="016BF293" w:rsidR="00B84925" w:rsidRPr="00B84925" w:rsidRDefault="00B84925" w:rsidP="00B84925">
            <w:pPr>
              <w:rPr>
                <w:rFonts w:asciiTheme="majorBidi" w:hAnsiTheme="majorBidi" w:cstheme="majorBidi"/>
                <w:sz w:val="20"/>
                <w:szCs w:val="20"/>
                <w:lang w:val="en-US" w:bidi="he-IL"/>
              </w:rPr>
            </w:pPr>
          </w:p>
        </w:tc>
      </w:tr>
      <w:tr w:rsidR="00B84925" w:rsidRPr="00B84925" w14:paraId="5EF10974" w14:textId="01E56B49" w:rsidTr="00B84925">
        <w:trPr>
          <w:cantSplit/>
          <w:jc w:val="center"/>
        </w:trPr>
        <w:tc>
          <w:tcPr>
            <w:tcW w:w="421" w:type="dxa"/>
          </w:tcPr>
          <w:p w14:paraId="40205FCB" w14:textId="21D560CF"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25</w:t>
            </w:r>
          </w:p>
        </w:tc>
        <w:tc>
          <w:tcPr>
            <w:tcW w:w="1842" w:type="dxa"/>
          </w:tcPr>
          <w:p w14:paraId="7F81A00E" w14:textId="03A73171"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B9.0 pg.49</w:t>
            </w:r>
          </w:p>
        </w:tc>
        <w:tc>
          <w:tcPr>
            <w:tcW w:w="6379" w:type="dxa"/>
          </w:tcPr>
          <w:p w14:paraId="2AE644FB" w14:textId="189CC221" w:rsidR="00B84925" w:rsidRPr="00B84925" w:rsidRDefault="00B84925" w:rsidP="00B84925">
            <w:pPr>
              <w:rPr>
                <w:rFonts w:asciiTheme="majorBidi" w:hAnsiTheme="majorBidi" w:cstheme="majorBidi"/>
                <w:sz w:val="20"/>
                <w:szCs w:val="20"/>
              </w:rPr>
            </w:pPr>
            <w:r w:rsidRPr="00B84925">
              <w:rPr>
                <w:rFonts w:asciiTheme="majorBidi" w:eastAsia="Times New Roman" w:hAnsiTheme="majorBidi" w:cstheme="majorBidi"/>
                <w:sz w:val="20"/>
                <w:szCs w:val="20"/>
                <w:lang w:eastAsia="en-GB"/>
              </w:rPr>
              <w:t>We request a single break clause after 3 years to allow Consultant to terminate at that time with 90 days notice. Would this be acceptable?</w:t>
            </w:r>
          </w:p>
        </w:tc>
        <w:tc>
          <w:tcPr>
            <w:tcW w:w="6746" w:type="dxa"/>
          </w:tcPr>
          <w:p w14:paraId="23AD3C8B"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notes the Bidder’s request.</w:t>
            </w:r>
          </w:p>
          <w:p w14:paraId="47F869DA"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contractual framework under the Tender is based on continuity of professional services throughout the entire duration of the Agreement, which may extend up to six (6) years.</w:t>
            </w:r>
            <w:r w:rsidRPr="00B84925">
              <w:rPr>
                <w:rFonts w:asciiTheme="majorBidi" w:hAnsiTheme="majorBidi" w:cstheme="majorBidi"/>
                <w:sz w:val="20"/>
                <w:szCs w:val="20"/>
              </w:rPr>
              <w:br/>
              <w:t>Accordingly, the Consultant shall not have the right to terminate the Agreement for convenience or at will.</w:t>
            </w:r>
          </w:p>
          <w:p w14:paraId="2001A35E"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therefore confirms that</w:t>
            </w:r>
            <w:r w:rsidRPr="00B84925">
              <w:rPr>
                <w:rFonts w:asciiTheme="majorBidi" w:hAnsiTheme="majorBidi" w:cstheme="majorBidi"/>
                <w:b/>
                <w:bCs/>
                <w:sz w:val="20"/>
                <w:szCs w:val="20"/>
              </w:rPr>
              <w:t xml:space="preserve"> </w:t>
            </w:r>
            <w:r w:rsidRPr="00B84925">
              <w:rPr>
                <w:rStyle w:val="a5"/>
                <w:rFonts w:asciiTheme="majorBidi" w:hAnsiTheme="majorBidi" w:cstheme="majorBidi"/>
                <w:b w:val="0"/>
                <w:bCs w:val="0"/>
                <w:sz w:val="20"/>
                <w:szCs w:val="20"/>
              </w:rPr>
              <w:t>no break clause</w:t>
            </w:r>
            <w:r w:rsidRPr="00B84925">
              <w:rPr>
                <w:rFonts w:asciiTheme="majorBidi" w:hAnsiTheme="majorBidi" w:cstheme="majorBidi"/>
                <w:sz w:val="20"/>
                <w:szCs w:val="20"/>
              </w:rPr>
              <w:t xml:space="preserve"> or unilateral termination option for the Consultant shall be included in the Agreement.</w:t>
            </w:r>
            <w:r w:rsidRPr="00B84925">
              <w:rPr>
                <w:rFonts w:asciiTheme="majorBidi" w:hAnsiTheme="majorBidi" w:cstheme="majorBidi"/>
                <w:sz w:val="20"/>
                <w:szCs w:val="20"/>
              </w:rPr>
              <w:br/>
              <w:t>Termination may occur only under the specific circumstances expressly provided in the Agreement (e.g., breach, force majeure, or termination by the Ministry for public interest reasons).</w:t>
            </w:r>
          </w:p>
          <w:p w14:paraId="595180D2" w14:textId="77777777" w:rsidR="00B84925" w:rsidRPr="00B84925" w:rsidRDefault="00B84925" w:rsidP="00B84925">
            <w:pPr>
              <w:pStyle w:val="NormalWeb"/>
              <w:rPr>
                <w:rFonts w:asciiTheme="majorBidi" w:hAnsiTheme="majorBidi" w:cstheme="majorBidi"/>
                <w:sz w:val="20"/>
                <w:szCs w:val="20"/>
              </w:rPr>
            </w:pPr>
          </w:p>
        </w:tc>
      </w:tr>
      <w:tr w:rsidR="00B84925" w:rsidRPr="00B84925" w14:paraId="12E567E2" w14:textId="26C7E610" w:rsidTr="00B84925">
        <w:trPr>
          <w:cantSplit/>
          <w:trHeight w:val="4385"/>
          <w:jc w:val="center"/>
        </w:trPr>
        <w:tc>
          <w:tcPr>
            <w:tcW w:w="421" w:type="dxa"/>
          </w:tcPr>
          <w:p w14:paraId="0498EBD6" w14:textId="338F6AAE"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26</w:t>
            </w:r>
          </w:p>
        </w:tc>
        <w:tc>
          <w:tcPr>
            <w:tcW w:w="1842" w:type="dxa"/>
          </w:tcPr>
          <w:p w14:paraId="36670800" w14:textId="3507BAE0" w:rsidR="00B84925" w:rsidRPr="00B84925" w:rsidRDefault="00B84925" w:rsidP="00B84925">
            <w:pPr>
              <w:rPr>
                <w:rFonts w:asciiTheme="majorBidi" w:hAnsiTheme="majorBidi" w:cstheme="majorBidi"/>
                <w:sz w:val="20"/>
                <w:szCs w:val="20"/>
              </w:rPr>
            </w:pPr>
          </w:p>
          <w:p w14:paraId="177C1F8A" w14:textId="77777777" w:rsidR="00B84925" w:rsidRPr="00B84925" w:rsidRDefault="00B84925" w:rsidP="00B84925">
            <w:pPr>
              <w:rPr>
                <w:rFonts w:asciiTheme="majorBidi" w:hAnsiTheme="majorBidi" w:cstheme="majorBidi"/>
                <w:sz w:val="20"/>
                <w:szCs w:val="20"/>
              </w:rPr>
            </w:pPr>
          </w:p>
          <w:p w14:paraId="1ED98828" w14:textId="77777777" w:rsidR="00B84925" w:rsidRPr="00B84925" w:rsidRDefault="00B84925" w:rsidP="00B84925">
            <w:pPr>
              <w:rPr>
                <w:rFonts w:asciiTheme="majorBidi" w:hAnsiTheme="majorBidi" w:cstheme="majorBidi"/>
                <w:sz w:val="20"/>
                <w:szCs w:val="20"/>
              </w:rPr>
            </w:pPr>
          </w:p>
          <w:p w14:paraId="600490CA" w14:textId="0FD2A390"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B12.1 pg.52</w:t>
            </w:r>
          </w:p>
        </w:tc>
        <w:tc>
          <w:tcPr>
            <w:tcW w:w="6379" w:type="dxa"/>
          </w:tcPr>
          <w:p w14:paraId="044BEFD0" w14:textId="77777777" w:rsidR="00B84925" w:rsidRPr="00B84925" w:rsidRDefault="00B84925" w:rsidP="00B84925">
            <w:pPr>
              <w:rPr>
                <w:rFonts w:asciiTheme="majorBidi" w:eastAsia="Times New Roman" w:hAnsiTheme="majorBidi" w:cstheme="majorBidi"/>
                <w:sz w:val="20"/>
                <w:szCs w:val="20"/>
                <w:lang w:eastAsia="en-GB"/>
              </w:rPr>
            </w:pPr>
          </w:p>
          <w:p w14:paraId="3CB140BD" w14:textId="77777777" w:rsidR="00B84925" w:rsidRPr="00B84925" w:rsidRDefault="00B84925" w:rsidP="00B84925">
            <w:pPr>
              <w:rPr>
                <w:rFonts w:asciiTheme="majorBidi" w:eastAsia="Times New Roman" w:hAnsiTheme="majorBidi" w:cstheme="majorBidi"/>
                <w:sz w:val="20"/>
                <w:szCs w:val="20"/>
                <w:lang w:eastAsia="en-GB"/>
              </w:rPr>
            </w:pPr>
          </w:p>
          <w:p w14:paraId="2A337392" w14:textId="703BAEE3" w:rsidR="00B84925" w:rsidRPr="00B84925" w:rsidRDefault="00B84925" w:rsidP="00B84925">
            <w:pPr>
              <w:rPr>
                <w:rFonts w:asciiTheme="majorBidi" w:hAnsiTheme="majorBidi" w:cstheme="majorBidi"/>
                <w:sz w:val="20"/>
                <w:szCs w:val="20"/>
              </w:rPr>
            </w:pPr>
            <w:r w:rsidRPr="00B84925">
              <w:rPr>
                <w:rFonts w:asciiTheme="majorBidi" w:eastAsia="Times New Roman" w:hAnsiTheme="majorBidi" w:cstheme="majorBidi"/>
                <w:sz w:val="20"/>
                <w:szCs w:val="20"/>
                <w:lang w:eastAsia="en-GB"/>
              </w:rPr>
              <w:t>Please clarify the territorial extent of this clause. Is this intended to be apply globally, or limited to the jurisdiction of the Ministry only?</w:t>
            </w:r>
          </w:p>
        </w:tc>
        <w:tc>
          <w:tcPr>
            <w:tcW w:w="6746" w:type="dxa"/>
          </w:tcPr>
          <w:p w14:paraId="359A2854" w14:textId="77777777" w:rsidR="00B84925" w:rsidRPr="00B84925" w:rsidRDefault="00B84925" w:rsidP="00B84925">
            <w:pPr>
              <w:pStyle w:val="NormalWeb"/>
              <w:rPr>
                <w:rFonts w:asciiTheme="majorBidi" w:hAnsiTheme="majorBidi" w:cstheme="majorBidi"/>
                <w:sz w:val="20"/>
                <w:szCs w:val="20"/>
              </w:rPr>
            </w:pPr>
          </w:p>
          <w:p w14:paraId="72CBB4FC" w14:textId="5AA98D2F"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The Ministry clarifies that the intention of Clause B12.1 is </w:t>
            </w:r>
            <w:r w:rsidRPr="00B84925">
              <w:rPr>
                <w:rStyle w:val="a5"/>
                <w:rFonts w:asciiTheme="majorBidi" w:hAnsiTheme="majorBidi" w:cstheme="majorBidi"/>
                <w:b w:val="0"/>
                <w:bCs w:val="0"/>
                <w:sz w:val="20"/>
                <w:szCs w:val="20"/>
              </w:rPr>
              <w:t>not</w:t>
            </w:r>
            <w:r w:rsidRPr="00B84925">
              <w:rPr>
                <w:rFonts w:asciiTheme="majorBidi" w:hAnsiTheme="majorBidi" w:cstheme="majorBidi"/>
                <w:sz w:val="20"/>
                <w:szCs w:val="20"/>
              </w:rPr>
              <w:t xml:space="preserve"> to apply the conflict-of-interest restrictions globally, but rather to limit their scope to activities conducted </w:t>
            </w:r>
            <w:r w:rsidRPr="00B84925">
              <w:rPr>
                <w:rStyle w:val="a5"/>
                <w:rFonts w:asciiTheme="majorBidi" w:hAnsiTheme="majorBidi" w:cstheme="majorBidi"/>
                <w:b w:val="0"/>
                <w:bCs w:val="0"/>
                <w:sz w:val="20"/>
                <w:szCs w:val="20"/>
              </w:rPr>
              <w:t>within the jurisdiction of the Ministry of Energy of the State of Israel</w:t>
            </w:r>
            <w:r w:rsidRPr="00B84925">
              <w:rPr>
                <w:rFonts w:asciiTheme="majorBidi" w:hAnsiTheme="majorBidi" w:cstheme="majorBidi"/>
                <w:sz w:val="20"/>
                <w:szCs w:val="20"/>
              </w:rPr>
              <w:t>, or to entities regulated by the Ministry under Israeli law.</w:t>
            </w:r>
          </w:p>
          <w:p w14:paraId="0BEB2F52"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Accordingly, any engagement or work performed by the Consultant with entities, companies, or clients </w:t>
            </w:r>
            <w:r w:rsidRPr="00B84925">
              <w:rPr>
                <w:rStyle w:val="a5"/>
                <w:rFonts w:asciiTheme="majorBidi" w:hAnsiTheme="majorBidi" w:cstheme="majorBidi"/>
                <w:b w:val="0"/>
                <w:bCs w:val="0"/>
                <w:sz w:val="20"/>
                <w:szCs w:val="20"/>
              </w:rPr>
              <w:t>outside the jurisdiction of the State of Israel</w:t>
            </w:r>
            <w:r w:rsidRPr="00B84925">
              <w:rPr>
                <w:rFonts w:asciiTheme="majorBidi" w:hAnsiTheme="majorBidi" w:cstheme="majorBidi"/>
                <w:sz w:val="20"/>
                <w:szCs w:val="20"/>
              </w:rPr>
              <w:t xml:space="preserve"> shall not, in itself, be considered a conflict of interest, provided that such entities have no direct or indirect connection to entities holding, applying for, or controlling rights, licenses, or permits regulated by the Ministry of Energy in Israel.</w:t>
            </w:r>
          </w:p>
          <w:p w14:paraId="5DD1C243" w14:textId="3996B281" w:rsidR="00B84925" w:rsidRPr="00B84925" w:rsidRDefault="00B84925" w:rsidP="00B84925">
            <w:pPr>
              <w:pStyle w:val="NormalWeb"/>
              <w:rPr>
                <w:rFonts w:asciiTheme="majorBidi" w:hAnsiTheme="majorBidi" w:cstheme="majorBidi"/>
                <w:sz w:val="20"/>
                <w:szCs w:val="20"/>
              </w:rPr>
            </w:pPr>
            <w:r w:rsidRPr="00B84925">
              <w:rPr>
                <w:rStyle w:val="a5"/>
                <w:rFonts w:asciiTheme="majorBidi" w:hAnsiTheme="majorBidi" w:cstheme="majorBidi"/>
                <w:b w:val="0"/>
                <w:bCs w:val="0"/>
                <w:sz w:val="20"/>
                <w:szCs w:val="20"/>
              </w:rPr>
              <w:t>For the avoidance of doubt</w:t>
            </w:r>
            <w:r w:rsidRPr="00B84925">
              <w:rPr>
                <w:rFonts w:asciiTheme="majorBidi" w:hAnsiTheme="majorBidi" w:cstheme="majorBidi"/>
                <w:sz w:val="20"/>
                <w:szCs w:val="20"/>
              </w:rPr>
              <w:t xml:space="preserve">, in any case where there is uncertainty as to the existence or likelihood of a potential conflict of interest, the Consultant shall </w:t>
            </w:r>
            <w:r w:rsidRPr="00B84925">
              <w:rPr>
                <w:rStyle w:val="a5"/>
                <w:rFonts w:asciiTheme="majorBidi" w:hAnsiTheme="majorBidi" w:cstheme="majorBidi"/>
                <w:b w:val="0"/>
                <w:bCs w:val="0"/>
                <w:sz w:val="20"/>
                <w:szCs w:val="20"/>
              </w:rPr>
              <w:t>consult in advance with the Ministry of Energy</w:t>
            </w:r>
            <w:r w:rsidRPr="00B84925">
              <w:rPr>
                <w:rFonts w:asciiTheme="majorBidi" w:hAnsiTheme="majorBidi" w:cstheme="majorBidi"/>
                <w:sz w:val="20"/>
                <w:szCs w:val="20"/>
              </w:rPr>
              <w:t xml:space="preserve"> and obtain its written position before proceeding, in order to ensure that no conflict of interest or compromise of professional independence arises under the Agreement.</w:t>
            </w:r>
          </w:p>
        </w:tc>
      </w:tr>
      <w:tr w:rsidR="00B84925" w:rsidRPr="00B84925" w14:paraId="2AC0983F" w14:textId="77777777" w:rsidTr="00B84925">
        <w:trPr>
          <w:cantSplit/>
          <w:trHeight w:val="506"/>
          <w:jc w:val="center"/>
        </w:trPr>
        <w:tc>
          <w:tcPr>
            <w:tcW w:w="421" w:type="dxa"/>
          </w:tcPr>
          <w:p w14:paraId="741E016C" w14:textId="2FC793B8"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27</w:t>
            </w:r>
          </w:p>
        </w:tc>
        <w:tc>
          <w:tcPr>
            <w:tcW w:w="1842" w:type="dxa"/>
          </w:tcPr>
          <w:p w14:paraId="618E7594" w14:textId="799C16A7"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B13.1 pg.52</w:t>
            </w:r>
          </w:p>
        </w:tc>
        <w:tc>
          <w:tcPr>
            <w:tcW w:w="6379" w:type="dxa"/>
          </w:tcPr>
          <w:p w14:paraId="3141A4EE" w14:textId="6D2E9B5B"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Our insurers request this be modified to 'prepared with reasonable skill and care.' Any requirement for 'expertly prepared, comprehensive and exhaustive with regard to the subject matter, high quality &amp; fit for purpose' invalidates our insurance policies.</w:t>
            </w:r>
          </w:p>
        </w:tc>
        <w:tc>
          <w:tcPr>
            <w:tcW w:w="6746" w:type="dxa"/>
          </w:tcPr>
          <w:p w14:paraId="4646758F" w14:textId="7A88681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clarifies that the intention of Clause B13.1 is to ensure that all deliverables meet a professional and reliable standard appropriate to the nature of the services under each Basket.</w:t>
            </w:r>
          </w:p>
          <w:p w14:paraId="1818C50B" w14:textId="77777777" w:rsidR="00B84925" w:rsidRPr="00B84925" w:rsidRDefault="00B84925" w:rsidP="00B84925">
            <w:pPr>
              <w:numPr>
                <w:ilvl w:val="0"/>
                <w:numId w:val="8"/>
              </w:numPr>
              <w:spacing w:before="100" w:beforeAutospacing="1" w:after="100" w:afterAutospacing="1" w:line="240" w:lineRule="auto"/>
              <w:rPr>
                <w:rFonts w:asciiTheme="majorBidi" w:hAnsiTheme="majorBidi" w:cstheme="majorBidi"/>
                <w:sz w:val="20"/>
                <w:szCs w:val="20"/>
              </w:rPr>
            </w:pPr>
            <w:r w:rsidRPr="00B84925">
              <w:rPr>
                <w:rStyle w:val="a5"/>
                <w:rFonts w:asciiTheme="majorBidi" w:hAnsiTheme="majorBidi" w:cstheme="majorBidi"/>
                <w:sz w:val="20"/>
                <w:szCs w:val="20"/>
              </w:rPr>
              <w:t>For Basket 1:</w:t>
            </w:r>
            <w:r w:rsidRPr="00B84925">
              <w:rPr>
                <w:rFonts w:asciiTheme="majorBidi" w:hAnsiTheme="majorBidi" w:cstheme="majorBidi"/>
                <w:sz w:val="20"/>
                <w:szCs w:val="20"/>
              </w:rPr>
              <w:br/>
              <w:t>The Ministry agrees to adjust the wording in order to align with the standard formulation commonly used in international consultancy agreements.</w:t>
            </w:r>
            <w:r w:rsidRPr="00B84925">
              <w:rPr>
                <w:rFonts w:asciiTheme="majorBidi" w:hAnsiTheme="majorBidi" w:cstheme="majorBidi"/>
                <w:sz w:val="20"/>
                <w:szCs w:val="20"/>
              </w:rPr>
              <w:br/>
              <w:t>The clause shall therefore be amended to read as follows:</w:t>
            </w:r>
          </w:p>
          <w:p w14:paraId="094C0586" w14:textId="77777777" w:rsidR="00B84925" w:rsidRPr="00B84925" w:rsidRDefault="00B84925" w:rsidP="00B84925">
            <w:pPr>
              <w:pStyle w:val="NormalWeb"/>
              <w:ind w:left="720"/>
              <w:rPr>
                <w:rFonts w:asciiTheme="majorBidi" w:hAnsiTheme="majorBidi" w:cstheme="majorBidi"/>
                <w:sz w:val="20"/>
                <w:szCs w:val="20"/>
              </w:rPr>
            </w:pPr>
            <w:r w:rsidRPr="00B84925">
              <w:rPr>
                <w:rStyle w:val="a4"/>
                <w:rFonts w:asciiTheme="majorBidi" w:hAnsiTheme="majorBidi" w:cstheme="majorBidi"/>
                <w:sz w:val="20"/>
                <w:szCs w:val="20"/>
              </w:rPr>
              <w:t>“All deliverables provided by the Consultant shall be prepared with reasonable skill and care, and in accordance with all applicable laws, regulations, and professional standards customary for such services.”</w:t>
            </w:r>
          </w:p>
          <w:p w14:paraId="447CA6F1" w14:textId="77777777" w:rsidR="00B84925" w:rsidRPr="00B84925" w:rsidRDefault="00B84925" w:rsidP="00B84925">
            <w:pPr>
              <w:pStyle w:val="NormalWeb"/>
              <w:ind w:left="720"/>
              <w:rPr>
                <w:rFonts w:asciiTheme="majorBidi" w:hAnsiTheme="majorBidi" w:cstheme="majorBidi"/>
                <w:sz w:val="20"/>
                <w:szCs w:val="20"/>
              </w:rPr>
            </w:pPr>
            <w:r w:rsidRPr="00B84925">
              <w:rPr>
                <w:rFonts w:asciiTheme="majorBidi" w:hAnsiTheme="majorBidi" w:cstheme="majorBidi"/>
                <w:sz w:val="20"/>
                <w:szCs w:val="20"/>
              </w:rPr>
              <w:t>This amendment preserves the requirement for high-quality, professional deliverables, while maintaining consistency with internationally accepted liability and insurance practices.</w:t>
            </w:r>
          </w:p>
          <w:p w14:paraId="7D1D4D67" w14:textId="77777777" w:rsidR="00B84925" w:rsidRPr="00B84925" w:rsidRDefault="00B84925" w:rsidP="00B84925">
            <w:pPr>
              <w:numPr>
                <w:ilvl w:val="0"/>
                <w:numId w:val="8"/>
              </w:numPr>
              <w:spacing w:before="100" w:beforeAutospacing="1" w:after="100" w:afterAutospacing="1" w:line="240" w:lineRule="auto"/>
              <w:rPr>
                <w:rFonts w:asciiTheme="majorBidi" w:hAnsiTheme="majorBidi" w:cstheme="majorBidi"/>
                <w:sz w:val="20"/>
                <w:szCs w:val="20"/>
              </w:rPr>
            </w:pPr>
            <w:r w:rsidRPr="00B84925">
              <w:rPr>
                <w:rStyle w:val="a5"/>
                <w:rFonts w:asciiTheme="majorBidi" w:hAnsiTheme="majorBidi" w:cstheme="majorBidi"/>
                <w:sz w:val="20"/>
                <w:szCs w:val="20"/>
              </w:rPr>
              <w:t>For Basket 2:</w:t>
            </w:r>
            <w:r w:rsidRPr="00B84925">
              <w:rPr>
                <w:rFonts w:asciiTheme="majorBidi" w:hAnsiTheme="majorBidi" w:cstheme="majorBidi"/>
                <w:sz w:val="20"/>
                <w:szCs w:val="20"/>
              </w:rPr>
              <w:br/>
              <w:t xml:space="preserve">The Ministry maintains the original wording, requiring that all deliverables be </w:t>
            </w:r>
            <w:r w:rsidRPr="00B84925">
              <w:rPr>
                <w:rStyle w:val="a4"/>
                <w:rFonts w:asciiTheme="majorBidi" w:hAnsiTheme="majorBidi" w:cstheme="majorBidi"/>
                <w:sz w:val="20"/>
                <w:szCs w:val="20"/>
              </w:rPr>
              <w:t>“expertly prepared, comprehensive and exhaustive, of high quality, and fit for purpose.”</w:t>
            </w:r>
            <w:r w:rsidRPr="00B84925">
              <w:rPr>
                <w:rFonts w:asciiTheme="majorBidi" w:hAnsiTheme="majorBidi" w:cstheme="majorBidi"/>
                <w:sz w:val="20"/>
                <w:szCs w:val="20"/>
              </w:rPr>
              <w:br/>
              <w:t>This higher standard reflects the regulatory and evaluative nature of the work under Basket 2, where the deliverables constitute a substantive input into the Ministry’s official decision-making processes under the Petroleum Law and therefore necessitate the highest level of professional diligence and accuracy.</w:t>
            </w:r>
          </w:p>
          <w:p w14:paraId="3E610318" w14:textId="682F7129" w:rsidR="00B84925" w:rsidRPr="00B84925" w:rsidRDefault="00B84925" w:rsidP="00B84925">
            <w:pPr>
              <w:pStyle w:val="NormalWeb"/>
              <w:rPr>
                <w:rFonts w:asciiTheme="majorBidi" w:hAnsiTheme="majorBidi" w:cstheme="majorBidi"/>
                <w:sz w:val="20"/>
                <w:szCs w:val="20"/>
                <w:lang w:val="en-GB"/>
              </w:rPr>
            </w:pPr>
          </w:p>
        </w:tc>
      </w:tr>
      <w:tr w:rsidR="00B84925" w:rsidRPr="00B84925" w14:paraId="5686FEE1" w14:textId="77777777" w:rsidTr="00B84925">
        <w:trPr>
          <w:cantSplit/>
          <w:jc w:val="center"/>
        </w:trPr>
        <w:tc>
          <w:tcPr>
            <w:tcW w:w="421" w:type="dxa"/>
          </w:tcPr>
          <w:p w14:paraId="410A98DD" w14:textId="7E4BF272"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28</w:t>
            </w:r>
          </w:p>
        </w:tc>
        <w:tc>
          <w:tcPr>
            <w:tcW w:w="1842" w:type="dxa"/>
          </w:tcPr>
          <w:p w14:paraId="4E973704" w14:textId="6BC5C994"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B14</w:t>
            </w:r>
          </w:p>
        </w:tc>
        <w:tc>
          <w:tcPr>
            <w:tcW w:w="6379" w:type="dxa"/>
          </w:tcPr>
          <w:p w14:paraId="3A41C66E"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Section 1.4. states that “The insurance will be expanded to cover the State of Israel - The Ministry of Energy and Infrastructure, if it is asserted for the occurrence of any work accident / occupational disease that they bear any employer’s liability towards any of the employees of the Consultant, contractors, subcontractors in its service.”</w:t>
            </w:r>
          </w:p>
          <w:p w14:paraId="1A268167" w14:textId="033A3DC5"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 xml:space="preserve">Clarification: </w:t>
            </w:r>
            <w:r w:rsidRPr="00B84925">
              <w:rPr>
                <w:rFonts w:asciiTheme="majorBidi" w:hAnsiTheme="majorBidi" w:cstheme="majorBidi"/>
                <w:i/>
                <w:iCs/>
                <w:sz w:val="20"/>
                <w:szCs w:val="20"/>
              </w:rPr>
              <w:t xml:space="preserve">If insurers are unwilling to accept this clause will the Ministry consider waving this clause? </w:t>
            </w:r>
          </w:p>
        </w:tc>
        <w:tc>
          <w:tcPr>
            <w:tcW w:w="6746" w:type="dxa"/>
          </w:tcPr>
          <w:p w14:paraId="31C7F429"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 xml:space="preserve">This clause is relevant only if </w:t>
            </w:r>
            <w:bookmarkStart w:id="1" w:name="_Hlk212638994"/>
            <w:r w:rsidRPr="00B84925">
              <w:rPr>
                <w:rFonts w:asciiTheme="majorBidi" w:hAnsiTheme="majorBidi" w:cstheme="majorBidi"/>
                <w:sz w:val="20"/>
                <w:szCs w:val="20"/>
              </w:rPr>
              <w:t>employer's liability insurance is procured</w:t>
            </w:r>
            <w:bookmarkEnd w:id="1"/>
            <w:r w:rsidRPr="00B84925">
              <w:rPr>
                <w:rFonts w:asciiTheme="majorBidi" w:hAnsiTheme="majorBidi" w:cstheme="majorBidi"/>
                <w:sz w:val="20"/>
                <w:szCs w:val="20"/>
              </w:rPr>
              <w:t>. Accordingly, it is agreed that the clause shall be amended as follows:</w:t>
            </w:r>
          </w:p>
          <w:p w14:paraId="5EEEAA00"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w:t>
            </w:r>
            <w:r w:rsidRPr="00B84925">
              <w:rPr>
                <w:rFonts w:ascii="David" w:hAnsi="David"/>
                <w:sz w:val="20"/>
                <w:szCs w:val="20"/>
              </w:rPr>
              <w:t>Only in respect of employer's liability insurance- The insurance will be expanded to cover the</w:t>
            </w:r>
            <w:r w:rsidRPr="00B84925">
              <w:rPr>
                <w:rFonts w:asciiTheme="majorBidi" w:hAnsiTheme="majorBidi" w:cstheme="majorBidi"/>
                <w:sz w:val="20"/>
                <w:szCs w:val="20"/>
              </w:rPr>
              <w:t xml:space="preserve"> State of Israel - The Ministry of Energy, </w:t>
            </w:r>
            <w:r w:rsidRPr="00B84925">
              <w:rPr>
                <w:rFonts w:ascii="David" w:hAnsi="David"/>
                <w:sz w:val="20"/>
                <w:szCs w:val="20"/>
              </w:rPr>
              <w:t>if it is asserted for the occurrence of any work accident / occupational disease that they bear any employer’s liability towards any of the employees of the Consultant, contractors, subcontractors in its service".</w:t>
            </w:r>
          </w:p>
          <w:p w14:paraId="523F03F0" w14:textId="77777777" w:rsidR="00B84925" w:rsidRPr="00B84925" w:rsidRDefault="00B84925" w:rsidP="00B84925">
            <w:pPr>
              <w:pStyle w:val="NormalWeb"/>
              <w:rPr>
                <w:rFonts w:asciiTheme="majorBidi" w:hAnsiTheme="majorBidi" w:cstheme="majorBidi"/>
                <w:sz w:val="20"/>
                <w:szCs w:val="20"/>
                <w:lang w:val="en-GB"/>
              </w:rPr>
            </w:pPr>
          </w:p>
        </w:tc>
      </w:tr>
      <w:tr w:rsidR="00B84925" w:rsidRPr="00B84925" w14:paraId="12303ECC" w14:textId="77777777" w:rsidTr="00CD6438">
        <w:trPr>
          <w:cantSplit/>
          <w:jc w:val="center"/>
        </w:trPr>
        <w:tc>
          <w:tcPr>
            <w:tcW w:w="421" w:type="dxa"/>
          </w:tcPr>
          <w:p w14:paraId="384E759F" w14:textId="33F71388"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29</w:t>
            </w:r>
          </w:p>
        </w:tc>
        <w:tc>
          <w:tcPr>
            <w:tcW w:w="1842" w:type="dxa"/>
          </w:tcPr>
          <w:p w14:paraId="350327DC" w14:textId="009BFC20"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B14</w:t>
            </w:r>
          </w:p>
        </w:tc>
        <w:tc>
          <w:tcPr>
            <w:tcW w:w="6379" w:type="dxa"/>
          </w:tcPr>
          <w:p w14:paraId="0DBAE036"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Under the agreement Third Party Liability Insurance (or CGL or any other equivalent insurance)</w:t>
            </w:r>
          </w:p>
          <w:p w14:paraId="55382E64"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2.1.</w:t>
            </w:r>
            <w:r w:rsidRPr="00B84925">
              <w:rPr>
                <w:rFonts w:asciiTheme="majorBidi" w:hAnsiTheme="majorBidi" w:cstheme="majorBidi"/>
                <w:sz w:val="20"/>
                <w:szCs w:val="20"/>
              </w:rPr>
              <w:tab/>
              <w:t xml:space="preserve">The Consultant will ensure their liability under the states of the State of Israel through third party liability insurance for physical injury and property damage (including consequential damage due to property damage) for its activity throughout the State of Israel and the held territories, including its territorial waters, and any administered territories. It is explained that the Ministry’s approval of the scope of working hours detailed in the project plan does not in any way constitute any commitment by the Ministry to secure services from any of the team members for any minimal number of work hours.  And </w:t>
            </w:r>
          </w:p>
          <w:p w14:paraId="675883B3"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2.5.</w:t>
            </w:r>
            <w:r w:rsidRPr="00B84925">
              <w:rPr>
                <w:rFonts w:asciiTheme="majorBidi" w:hAnsiTheme="majorBidi" w:cstheme="majorBidi"/>
                <w:sz w:val="20"/>
                <w:szCs w:val="20"/>
              </w:rPr>
              <w:tab/>
              <w:t>The insurance will be expanded to indemnify the State of Israel – The Ministry of Energy and Infrastructure, should they be considered as responsible for acts and/or omissions of the Consultant and/or any persons on its behalf.</w:t>
            </w:r>
          </w:p>
          <w:p w14:paraId="49C14DE8" w14:textId="77777777" w:rsidR="00B84925" w:rsidRPr="00B84925" w:rsidRDefault="00B84925" w:rsidP="00B84925">
            <w:pPr>
              <w:spacing w:after="200" w:line="276" w:lineRule="auto"/>
              <w:rPr>
                <w:rFonts w:asciiTheme="majorBidi" w:hAnsiTheme="majorBidi" w:cstheme="majorBidi"/>
                <w:i/>
                <w:iCs/>
                <w:sz w:val="20"/>
                <w:szCs w:val="20"/>
              </w:rPr>
            </w:pPr>
            <w:r w:rsidRPr="00B84925">
              <w:rPr>
                <w:rFonts w:asciiTheme="majorBidi" w:hAnsiTheme="majorBidi" w:cstheme="majorBidi"/>
                <w:i/>
                <w:iCs/>
                <w:sz w:val="20"/>
                <w:szCs w:val="20"/>
              </w:rPr>
              <w:t>Clarification: Can the Ministry consider changing to</w:t>
            </w:r>
          </w:p>
          <w:p w14:paraId="17D69BFE"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The Consultant will ensure their liability under the states of the State of Israel through third party liability insurance for physical injury and property damage (including consequential damage due to property damage) for its activity throughout the State of Israel and the held territories, including its territorial waters, and any administered territories the State of Israel – The Ministry of Energy and Infrastructure.</w:t>
            </w:r>
          </w:p>
          <w:p w14:paraId="1F2B2988" w14:textId="77777777" w:rsidR="00B84925" w:rsidRPr="00B84925" w:rsidRDefault="00B84925" w:rsidP="00B84925">
            <w:pPr>
              <w:spacing w:after="200" w:line="276" w:lineRule="auto"/>
              <w:rPr>
                <w:rFonts w:asciiTheme="majorBidi" w:hAnsiTheme="majorBidi" w:cstheme="majorBidi"/>
                <w:i/>
                <w:iCs/>
                <w:sz w:val="20"/>
                <w:szCs w:val="20"/>
              </w:rPr>
            </w:pPr>
            <w:r w:rsidRPr="00B84925">
              <w:rPr>
                <w:rFonts w:asciiTheme="majorBidi" w:hAnsiTheme="majorBidi" w:cstheme="majorBidi"/>
                <w:sz w:val="20"/>
                <w:szCs w:val="20"/>
              </w:rPr>
              <w:t>This means dropping clause 2.5.</w:t>
            </w:r>
            <w:r w:rsidRPr="00B84925">
              <w:rPr>
                <w:rFonts w:asciiTheme="majorBidi" w:hAnsiTheme="majorBidi" w:cstheme="majorBidi"/>
                <w:i/>
                <w:iCs/>
                <w:sz w:val="20"/>
                <w:szCs w:val="20"/>
              </w:rPr>
              <w:t xml:space="preserve"> </w:t>
            </w:r>
          </w:p>
          <w:p w14:paraId="551CFE42" w14:textId="77777777" w:rsidR="00B84925" w:rsidRPr="00B84925" w:rsidRDefault="00B84925" w:rsidP="00B84925">
            <w:pPr>
              <w:rPr>
                <w:rFonts w:asciiTheme="majorBidi" w:eastAsia="Times New Roman" w:hAnsiTheme="majorBidi" w:cstheme="majorBidi"/>
                <w:sz w:val="20"/>
                <w:szCs w:val="20"/>
                <w:lang w:eastAsia="en-GB"/>
              </w:rPr>
            </w:pPr>
          </w:p>
        </w:tc>
        <w:tc>
          <w:tcPr>
            <w:tcW w:w="6746" w:type="dxa"/>
          </w:tcPr>
          <w:p w14:paraId="461B07BB"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It is agreed that Section 2.1 shall be replaced with the section proposed by the Bidder. However, Section 2.5 shall not be deleted but rather updated to read as follows:</w:t>
            </w:r>
          </w:p>
          <w:p w14:paraId="16045C9D" w14:textId="77777777" w:rsidR="00B84925" w:rsidRPr="00B84925" w:rsidRDefault="00B84925" w:rsidP="00B84925">
            <w:pPr>
              <w:pStyle w:val="ab"/>
              <w:spacing w:after="240" w:line="360" w:lineRule="auto"/>
              <w:ind w:left="0"/>
              <w:rPr>
                <w:rFonts w:ascii="David" w:hAnsi="David"/>
                <w:sz w:val="20"/>
                <w:szCs w:val="20"/>
              </w:rPr>
            </w:pPr>
            <w:r w:rsidRPr="00B84925">
              <w:rPr>
                <w:rFonts w:asciiTheme="majorBidi" w:hAnsiTheme="majorBidi" w:cstheme="majorBidi"/>
                <w:sz w:val="20"/>
                <w:szCs w:val="20"/>
              </w:rPr>
              <w:t xml:space="preserve">2.5. </w:t>
            </w:r>
            <w:r w:rsidRPr="00B84925">
              <w:rPr>
                <w:rFonts w:ascii="David" w:hAnsi="David"/>
                <w:sz w:val="20"/>
                <w:szCs w:val="20"/>
              </w:rPr>
              <w:t>The insurance will be expanded to indemnify</w:t>
            </w:r>
            <w:r w:rsidRPr="00B84925">
              <w:rPr>
                <w:rFonts w:asciiTheme="majorBidi" w:hAnsiTheme="majorBidi" w:cstheme="majorBidi"/>
                <w:sz w:val="20"/>
                <w:szCs w:val="20"/>
              </w:rPr>
              <w:t xml:space="preserve"> the State of Israel – The Ministry of Energy, </w:t>
            </w:r>
            <w:r w:rsidRPr="00B84925">
              <w:rPr>
                <w:rFonts w:ascii="David" w:hAnsi="David"/>
                <w:sz w:val="20"/>
                <w:szCs w:val="20"/>
              </w:rPr>
              <w:t xml:space="preserve">should they be considered as responsible for acts and/or omissions of the </w:t>
            </w:r>
            <w:r w:rsidRPr="00B84925">
              <w:rPr>
                <w:rFonts w:asciiTheme="majorBidi" w:hAnsiTheme="majorBidi" w:cstheme="majorBidi"/>
                <w:sz w:val="20"/>
                <w:szCs w:val="20"/>
              </w:rPr>
              <w:t>Consultant</w:t>
            </w:r>
            <w:r w:rsidRPr="00B84925">
              <w:rPr>
                <w:rFonts w:ascii="David" w:hAnsi="David"/>
                <w:sz w:val="20"/>
                <w:szCs w:val="20"/>
              </w:rPr>
              <w:t xml:space="preserve"> and/or any persons on its behalf / the </w:t>
            </w:r>
            <w:r w:rsidRPr="00B84925">
              <w:rPr>
                <w:rFonts w:asciiTheme="majorBidi" w:hAnsiTheme="majorBidi" w:cstheme="majorBidi"/>
                <w:sz w:val="20"/>
                <w:szCs w:val="20"/>
              </w:rPr>
              <w:t>State of Israel – The Ministry of Energy</w:t>
            </w:r>
            <w:r w:rsidRPr="00B84925">
              <w:rPr>
                <w:rFonts w:ascii="David" w:hAnsi="David"/>
                <w:sz w:val="20"/>
                <w:szCs w:val="20"/>
              </w:rPr>
              <w:t xml:space="preserve"> shall be add as additional insured.</w:t>
            </w:r>
          </w:p>
          <w:p w14:paraId="545313ED" w14:textId="77777777" w:rsidR="00B84925" w:rsidRPr="00B84925" w:rsidRDefault="00B84925" w:rsidP="00B84925">
            <w:pPr>
              <w:pStyle w:val="NormalWeb"/>
              <w:rPr>
                <w:rFonts w:asciiTheme="majorBidi" w:hAnsiTheme="majorBidi" w:cstheme="majorBidi"/>
                <w:sz w:val="20"/>
                <w:szCs w:val="20"/>
              </w:rPr>
            </w:pPr>
          </w:p>
        </w:tc>
      </w:tr>
      <w:tr w:rsidR="00B84925" w:rsidRPr="00B84925" w14:paraId="0954BA13" w14:textId="77777777" w:rsidTr="00CD6438">
        <w:trPr>
          <w:cantSplit/>
          <w:jc w:val="center"/>
        </w:trPr>
        <w:tc>
          <w:tcPr>
            <w:tcW w:w="421" w:type="dxa"/>
          </w:tcPr>
          <w:p w14:paraId="194E5F39" w14:textId="45015E50"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30</w:t>
            </w:r>
          </w:p>
        </w:tc>
        <w:tc>
          <w:tcPr>
            <w:tcW w:w="1842" w:type="dxa"/>
          </w:tcPr>
          <w:p w14:paraId="6EA7C17B" w14:textId="122AC532"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B14</w:t>
            </w:r>
          </w:p>
        </w:tc>
        <w:tc>
          <w:tcPr>
            <w:tcW w:w="6379" w:type="dxa"/>
          </w:tcPr>
          <w:p w14:paraId="376C1C9F"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Under 1.4.</w:t>
            </w:r>
            <w:r w:rsidRPr="00B84925">
              <w:rPr>
                <w:rFonts w:asciiTheme="majorBidi" w:hAnsiTheme="majorBidi" w:cstheme="majorBidi"/>
                <w:sz w:val="20"/>
                <w:szCs w:val="20"/>
              </w:rPr>
              <w:tab/>
              <w:t>The cover under the policy shall be extended to include the following extensions:</w:t>
            </w:r>
          </w:p>
          <w:p w14:paraId="4992C6DE"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a.</w:t>
            </w:r>
            <w:r w:rsidRPr="00B84925">
              <w:rPr>
                <w:rFonts w:asciiTheme="majorBidi" w:hAnsiTheme="majorBidi" w:cstheme="majorBidi"/>
                <w:sz w:val="20"/>
                <w:szCs w:val="20"/>
              </w:rPr>
              <w:tab/>
              <w:t xml:space="preserve">Employee fraud and dishonesty </w:t>
            </w:r>
          </w:p>
          <w:p w14:paraId="1EE41AF3"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b.</w:t>
            </w:r>
            <w:r w:rsidRPr="00B84925">
              <w:rPr>
                <w:rFonts w:asciiTheme="majorBidi" w:hAnsiTheme="majorBidi" w:cstheme="majorBidi"/>
                <w:sz w:val="20"/>
                <w:szCs w:val="20"/>
              </w:rPr>
              <w:tab/>
              <w:t>Loss of documents, including the loss of use and/or delay as a result of an insurance event.</w:t>
            </w:r>
          </w:p>
          <w:p w14:paraId="2FEAB020"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c.</w:t>
            </w:r>
            <w:r w:rsidRPr="00B84925">
              <w:rPr>
                <w:rFonts w:asciiTheme="majorBidi" w:hAnsiTheme="majorBidi" w:cstheme="majorBidi"/>
                <w:sz w:val="20"/>
                <w:szCs w:val="20"/>
              </w:rPr>
              <w:tab/>
              <w:t>Cross-liability, but coverage shall not apply in respect of the Consultant's claims against The State of Israel - The Ministry of Energy and Infrastructure.</w:t>
            </w:r>
          </w:p>
          <w:p w14:paraId="597378EA"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d.</w:t>
            </w:r>
            <w:r w:rsidRPr="00B84925">
              <w:rPr>
                <w:rFonts w:asciiTheme="majorBidi" w:hAnsiTheme="majorBidi" w:cstheme="majorBidi"/>
                <w:sz w:val="20"/>
                <w:szCs w:val="20"/>
              </w:rPr>
              <w:tab/>
              <w:t>Extension of the period of discovery to at least six months.</w:t>
            </w:r>
          </w:p>
          <w:p w14:paraId="3DF2992D" w14:textId="77777777"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e.</w:t>
            </w:r>
            <w:r w:rsidRPr="00B84925">
              <w:rPr>
                <w:rFonts w:asciiTheme="majorBidi" w:hAnsiTheme="majorBidi" w:cstheme="majorBidi"/>
                <w:sz w:val="20"/>
                <w:szCs w:val="20"/>
              </w:rPr>
              <w:tab/>
              <w:t xml:space="preserve">Law, jurisdiction and territorial limits shall include the State of Israel and the held territories, its territorial waters, and any administered territories. It is explained that the winning Bidder may be asked to provide services, which may necessitate services to be provided by a subcontractor, approved in advance by the Ministry and contracted by the winning Bidder. </w:t>
            </w:r>
          </w:p>
          <w:p w14:paraId="34B6793B" w14:textId="1EEB29F8" w:rsidR="00B84925" w:rsidRPr="00B84925" w:rsidRDefault="00B84925" w:rsidP="00B84925">
            <w:pPr>
              <w:spacing w:after="200" w:line="276" w:lineRule="auto"/>
              <w:rPr>
                <w:rFonts w:asciiTheme="majorBidi" w:hAnsiTheme="majorBidi" w:cstheme="majorBidi"/>
                <w:sz w:val="20"/>
                <w:szCs w:val="20"/>
                <w:lang w:val="en-US" w:bidi="he-IL"/>
              </w:rPr>
            </w:pPr>
            <w:r w:rsidRPr="00B84925">
              <w:rPr>
                <w:rFonts w:asciiTheme="majorBidi" w:hAnsiTheme="majorBidi" w:cstheme="majorBidi"/>
                <w:i/>
                <w:iCs/>
                <w:sz w:val="20"/>
                <w:szCs w:val="20"/>
              </w:rPr>
              <w:t>Clarification: Can the ministry consider dropping this clause as part of the Insurance as it is difficult for insurers to cover this?</w:t>
            </w:r>
          </w:p>
        </w:tc>
        <w:tc>
          <w:tcPr>
            <w:tcW w:w="6746" w:type="dxa"/>
          </w:tcPr>
          <w:p w14:paraId="5755957D" w14:textId="59E5626D" w:rsidR="00B84925" w:rsidRPr="00B84925" w:rsidRDefault="00B84925" w:rsidP="00B84925">
            <w:pPr>
              <w:spacing w:after="200" w:line="276" w:lineRule="auto"/>
              <w:rPr>
                <w:rFonts w:asciiTheme="majorBidi" w:hAnsiTheme="majorBidi" w:cstheme="majorBidi"/>
                <w:sz w:val="20"/>
                <w:szCs w:val="20"/>
              </w:rPr>
            </w:pPr>
            <w:r w:rsidRPr="00B84925">
              <w:rPr>
                <w:rFonts w:asciiTheme="majorBidi" w:hAnsiTheme="majorBidi" w:cstheme="majorBidi"/>
                <w:sz w:val="20"/>
                <w:szCs w:val="20"/>
              </w:rPr>
              <w:t>It is agreed that Section 3.4 shall be amended as follows: "The cover under the policy shall be extended to include the following extensions, unless expressly approved otherwise by the State of Israel - the Ministry of Energy due to market conditions"</w:t>
            </w:r>
          </w:p>
        </w:tc>
      </w:tr>
      <w:tr w:rsidR="00B84925" w:rsidRPr="00B84925" w14:paraId="6CB4BBCE" w14:textId="77777777" w:rsidTr="00B84925">
        <w:trPr>
          <w:cantSplit/>
          <w:jc w:val="center"/>
        </w:trPr>
        <w:tc>
          <w:tcPr>
            <w:tcW w:w="421" w:type="dxa"/>
          </w:tcPr>
          <w:p w14:paraId="57BBDBF0" w14:textId="759759E8"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31</w:t>
            </w:r>
          </w:p>
        </w:tc>
        <w:tc>
          <w:tcPr>
            <w:tcW w:w="1842" w:type="dxa"/>
          </w:tcPr>
          <w:p w14:paraId="736209C4" w14:textId="3E2976B5"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B14.1(B,D,G,H) pg.55,56</w:t>
            </w:r>
          </w:p>
        </w:tc>
        <w:tc>
          <w:tcPr>
            <w:tcW w:w="6379" w:type="dxa"/>
          </w:tcPr>
          <w:p w14:paraId="131D8C0F" w14:textId="725D0FB4"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No definition of Representation Office is present in Tender documents.  Please clarify definition</w:t>
            </w:r>
          </w:p>
        </w:tc>
        <w:tc>
          <w:tcPr>
            <w:tcW w:w="6746" w:type="dxa"/>
          </w:tcPr>
          <w:p w14:paraId="0D26AA84" w14:textId="79FADF3F"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This term applies only to entities that hold a Foreign Insurer license in Israel under Section 16 of the Financial Services Supervision Law (Insurance), 5741-1981, and are required to have a Representation Office in Israel under Section 16(b) of the same law.</w:t>
            </w:r>
          </w:p>
          <w:p w14:paraId="6F92C5A2" w14:textId="77777777" w:rsidR="00B84925" w:rsidRPr="00B84925" w:rsidRDefault="00B84925" w:rsidP="00B84925">
            <w:pPr>
              <w:pStyle w:val="NormalWeb"/>
              <w:rPr>
                <w:rFonts w:asciiTheme="majorBidi" w:hAnsiTheme="majorBidi" w:cstheme="majorBidi"/>
                <w:sz w:val="20"/>
                <w:szCs w:val="20"/>
              </w:rPr>
            </w:pPr>
          </w:p>
        </w:tc>
      </w:tr>
      <w:tr w:rsidR="00B84925" w:rsidRPr="00B84925" w14:paraId="2DAB142F" w14:textId="77777777" w:rsidTr="00B84925">
        <w:trPr>
          <w:cantSplit/>
          <w:jc w:val="center"/>
        </w:trPr>
        <w:tc>
          <w:tcPr>
            <w:tcW w:w="421" w:type="dxa"/>
          </w:tcPr>
          <w:p w14:paraId="34D808E1" w14:textId="07C2B6E7"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32</w:t>
            </w:r>
          </w:p>
        </w:tc>
        <w:tc>
          <w:tcPr>
            <w:tcW w:w="1842" w:type="dxa"/>
          </w:tcPr>
          <w:p w14:paraId="6C95B3A9" w14:textId="5CF16C63"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B15.3 pg.58</w:t>
            </w:r>
          </w:p>
        </w:tc>
        <w:tc>
          <w:tcPr>
            <w:tcW w:w="6379" w:type="dxa"/>
          </w:tcPr>
          <w:p w14:paraId="461A54E7" w14:textId="5DB69F89"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Our insurers will not accept this clause. Is it possible to include a cap on liability equal to the fees (or some multiple of) received by the Consultant under the Agreement, which would allow our insurance to respond.</w:t>
            </w:r>
          </w:p>
        </w:tc>
        <w:tc>
          <w:tcPr>
            <w:tcW w:w="6746" w:type="dxa"/>
          </w:tcPr>
          <w:p w14:paraId="022BB08A"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clarifies that the provisions of Clause B15.3 shall remain as stated in the Tender Documents.</w:t>
            </w:r>
          </w:p>
          <w:p w14:paraId="612041B9"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Consultant shall indemnify and hold harmless the Ministry for any damage, loss, payment, or expense incurred by the Ministry as a result of any act or omission of the Consultant or anyone acting on its behalf, in accordance with the Agreement.</w:t>
            </w:r>
          </w:p>
          <w:p w14:paraId="2D863AC4"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will not introduce a monetary cap or limitation on the Consultant’s liability or indemnification obligations.</w:t>
            </w:r>
            <w:r w:rsidRPr="00B84925">
              <w:rPr>
                <w:rFonts w:asciiTheme="majorBidi" w:hAnsiTheme="majorBidi" w:cstheme="majorBidi"/>
                <w:sz w:val="20"/>
                <w:szCs w:val="20"/>
              </w:rPr>
              <w:br/>
              <w:t xml:space="preserve">For the avoidance of doubt, the Consultant’s professional liability insurance, as required under Appendix D (Insurance Requirements), shall serve as the </w:t>
            </w:r>
            <w:r w:rsidRPr="00B84925">
              <w:rPr>
                <w:rStyle w:val="a5"/>
                <w:rFonts w:asciiTheme="majorBidi" w:hAnsiTheme="majorBidi" w:cstheme="majorBidi"/>
                <w:b w:val="0"/>
                <w:bCs w:val="0"/>
                <w:sz w:val="20"/>
                <w:szCs w:val="20"/>
              </w:rPr>
              <w:t>minimum financial coverage</w:t>
            </w:r>
            <w:r w:rsidRPr="00B84925">
              <w:rPr>
                <w:rFonts w:asciiTheme="majorBidi" w:hAnsiTheme="majorBidi" w:cstheme="majorBidi"/>
                <w:sz w:val="20"/>
                <w:szCs w:val="20"/>
              </w:rPr>
              <w:t xml:space="preserve"> supporting the Consultant’s ability to meet its indemnification obligations under this clause.</w:t>
            </w:r>
          </w:p>
          <w:p w14:paraId="1189328B"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This clarification is consistent with the State of Israel’s standard contractual framework, as established by the Accountant General of the Ministry of Finance, and ensures the Ministry’s full protection under Israeli law while maintaining compatibility with recognized insurance practices.</w:t>
            </w:r>
          </w:p>
          <w:p w14:paraId="7B37FB27" w14:textId="77777777" w:rsidR="00B84925" w:rsidRPr="00B84925" w:rsidRDefault="00B84925" w:rsidP="00B84925">
            <w:pPr>
              <w:pStyle w:val="NormalWeb"/>
              <w:rPr>
                <w:rFonts w:asciiTheme="majorBidi" w:hAnsiTheme="majorBidi" w:cstheme="majorBidi"/>
                <w:sz w:val="20"/>
                <w:szCs w:val="20"/>
              </w:rPr>
            </w:pPr>
          </w:p>
        </w:tc>
      </w:tr>
      <w:tr w:rsidR="00B84925" w:rsidRPr="00B84925" w14:paraId="51F2D573" w14:textId="77777777" w:rsidTr="00B84925">
        <w:trPr>
          <w:cantSplit/>
          <w:jc w:val="center"/>
        </w:trPr>
        <w:tc>
          <w:tcPr>
            <w:tcW w:w="421" w:type="dxa"/>
          </w:tcPr>
          <w:p w14:paraId="53DE4531" w14:textId="226EF46D"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33</w:t>
            </w:r>
          </w:p>
        </w:tc>
        <w:tc>
          <w:tcPr>
            <w:tcW w:w="1842" w:type="dxa"/>
          </w:tcPr>
          <w:p w14:paraId="305508D6" w14:textId="5ED95D54"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G1 pg.69</w:t>
            </w:r>
          </w:p>
        </w:tc>
        <w:tc>
          <w:tcPr>
            <w:tcW w:w="6379" w:type="dxa"/>
          </w:tcPr>
          <w:p w14:paraId="4940CBA3" w14:textId="13EE8397" w:rsidR="00B84925" w:rsidRPr="00B84925" w:rsidRDefault="00B84925" w:rsidP="00B84925">
            <w:pPr>
              <w:rPr>
                <w:rFonts w:asciiTheme="majorBidi" w:eastAsia="Times New Roman" w:hAnsiTheme="majorBidi" w:cstheme="majorBidi"/>
                <w:sz w:val="20"/>
                <w:szCs w:val="20"/>
                <w:rtl/>
                <w:lang w:eastAsia="en-GB" w:bidi="he-IL"/>
              </w:rPr>
            </w:pPr>
            <w:r w:rsidRPr="00B84925">
              <w:rPr>
                <w:rFonts w:asciiTheme="majorBidi" w:eastAsia="Times New Roman" w:hAnsiTheme="majorBidi" w:cstheme="majorBidi"/>
                <w:sz w:val="20"/>
                <w:szCs w:val="20"/>
                <w:lang w:eastAsia="en-GB"/>
              </w:rPr>
              <w:t>For sub-contractors does this mean 6 months after the termination of their contract with us, rather than the end of the contract with the Ministry?</w:t>
            </w:r>
          </w:p>
        </w:tc>
        <w:tc>
          <w:tcPr>
            <w:tcW w:w="6746" w:type="dxa"/>
          </w:tcPr>
          <w:p w14:paraId="2C1B64E9" w14:textId="5FFF9FA6"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The Ministry clarifies that the provisions of Clause G1 apply to the Consultant and all proposed sub-contractors and experts for a period of six (6) months after the expiration of the Consultant's agreement with the Ministry.</w:t>
            </w:r>
          </w:p>
          <w:p w14:paraId="31FB1B1B"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If certain experts previously provided consultancy services to the Ministry in the field of safety or regulatory oversight of petroleum facilities, and such work was limited to professional advice provided remotely, including periodic on-site audits on behalf of the Ministry, their participation under this Tender shall</w:t>
            </w:r>
            <w:r w:rsidRPr="00B84925">
              <w:rPr>
                <w:rFonts w:asciiTheme="majorBidi" w:hAnsiTheme="majorBidi" w:cstheme="majorBidi"/>
                <w:b/>
                <w:bCs/>
                <w:sz w:val="20"/>
                <w:szCs w:val="20"/>
              </w:rPr>
              <w:t xml:space="preserve"> </w:t>
            </w:r>
            <w:r w:rsidRPr="00B84925">
              <w:rPr>
                <w:rStyle w:val="a5"/>
                <w:rFonts w:asciiTheme="majorBidi" w:hAnsiTheme="majorBidi" w:cstheme="majorBidi"/>
                <w:b w:val="0"/>
                <w:bCs w:val="0"/>
                <w:sz w:val="20"/>
                <w:szCs w:val="20"/>
              </w:rPr>
              <w:t>not be considered a conflict of interest</w:t>
            </w:r>
            <w:r w:rsidRPr="00B84925">
              <w:rPr>
                <w:rFonts w:asciiTheme="majorBidi" w:hAnsiTheme="majorBidi" w:cstheme="majorBidi"/>
                <w:sz w:val="20"/>
                <w:szCs w:val="20"/>
              </w:rPr>
              <w:t>, provided that:</w:t>
            </w:r>
          </w:p>
          <w:p w14:paraId="094BBA32" w14:textId="77777777" w:rsidR="00B84925" w:rsidRPr="00B84925" w:rsidRDefault="00B84925" w:rsidP="00B84925">
            <w:pPr>
              <w:numPr>
                <w:ilvl w:val="0"/>
                <w:numId w:val="9"/>
              </w:numPr>
              <w:spacing w:before="100" w:beforeAutospacing="1" w:after="100" w:afterAutospacing="1" w:line="240" w:lineRule="auto"/>
              <w:rPr>
                <w:rFonts w:asciiTheme="majorBidi" w:hAnsiTheme="majorBidi" w:cstheme="majorBidi"/>
                <w:sz w:val="20"/>
                <w:szCs w:val="20"/>
              </w:rPr>
            </w:pPr>
            <w:r w:rsidRPr="00B84925">
              <w:rPr>
                <w:rFonts w:asciiTheme="majorBidi" w:hAnsiTheme="majorBidi" w:cstheme="majorBidi"/>
                <w:sz w:val="20"/>
                <w:szCs w:val="20"/>
              </w:rPr>
              <w:t xml:space="preserve">the prior engagement is </w:t>
            </w:r>
            <w:r w:rsidRPr="00B84925">
              <w:rPr>
                <w:rStyle w:val="a5"/>
                <w:rFonts w:asciiTheme="majorBidi" w:hAnsiTheme="majorBidi" w:cstheme="majorBidi"/>
                <w:b w:val="0"/>
                <w:bCs w:val="0"/>
                <w:sz w:val="20"/>
                <w:szCs w:val="20"/>
              </w:rPr>
              <w:t>fully disclosed</w:t>
            </w:r>
            <w:r w:rsidRPr="00B84925">
              <w:rPr>
                <w:rFonts w:asciiTheme="majorBidi" w:hAnsiTheme="majorBidi" w:cstheme="majorBidi"/>
                <w:sz w:val="20"/>
                <w:szCs w:val="20"/>
              </w:rPr>
              <w:t xml:space="preserve"> in the proposal;</w:t>
            </w:r>
          </w:p>
          <w:p w14:paraId="3932CC68" w14:textId="77777777" w:rsidR="00B84925" w:rsidRPr="00B84925" w:rsidRDefault="00B84925" w:rsidP="00B84925">
            <w:pPr>
              <w:numPr>
                <w:ilvl w:val="0"/>
                <w:numId w:val="9"/>
              </w:numPr>
              <w:spacing w:before="100" w:beforeAutospacing="1" w:after="100" w:afterAutospacing="1" w:line="240" w:lineRule="auto"/>
              <w:rPr>
                <w:rFonts w:asciiTheme="majorBidi" w:hAnsiTheme="majorBidi" w:cstheme="majorBidi"/>
                <w:sz w:val="20"/>
                <w:szCs w:val="20"/>
              </w:rPr>
            </w:pPr>
            <w:r w:rsidRPr="00B84925">
              <w:rPr>
                <w:rFonts w:asciiTheme="majorBidi" w:hAnsiTheme="majorBidi" w:cstheme="majorBidi"/>
                <w:sz w:val="20"/>
                <w:szCs w:val="20"/>
              </w:rPr>
              <w:t xml:space="preserve">the experts sign a </w:t>
            </w:r>
            <w:r w:rsidRPr="00B84925">
              <w:rPr>
                <w:rStyle w:val="a5"/>
                <w:rFonts w:asciiTheme="majorBidi" w:hAnsiTheme="majorBidi" w:cstheme="majorBidi"/>
                <w:b w:val="0"/>
                <w:bCs w:val="0"/>
                <w:sz w:val="20"/>
                <w:szCs w:val="20"/>
              </w:rPr>
              <w:t>conflict-of-interest and confidentiality declaration</w:t>
            </w:r>
            <w:r w:rsidRPr="00B84925">
              <w:rPr>
                <w:rFonts w:asciiTheme="majorBidi" w:hAnsiTheme="majorBidi" w:cstheme="majorBidi"/>
                <w:sz w:val="20"/>
                <w:szCs w:val="20"/>
              </w:rPr>
              <w:t xml:space="preserve"> confirming that they will not review or assess their own prior work; and</w:t>
            </w:r>
          </w:p>
          <w:p w14:paraId="6CD88D1E" w14:textId="77777777" w:rsidR="00B84925" w:rsidRPr="00B84925" w:rsidRDefault="00B84925" w:rsidP="00B84925">
            <w:pPr>
              <w:numPr>
                <w:ilvl w:val="0"/>
                <w:numId w:val="9"/>
              </w:numPr>
              <w:spacing w:before="100" w:beforeAutospacing="1" w:after="100" w:afterAutospacing="1" w:line="240" w:lineRule="auto"/>
              <w:rPr>
                <w:rFonts w:asciiTheme="majorBidi" w:hAnsiTheme="majorBidi" w:cstheme="majorBidi"/>
                <w:sz w:val="20"/>
                <w:szCs w:val="20"/>
              </w:rPr>
            </w:pPr>
            <w:r w:rsidRPr="00B84925">
              <w:rPr>
                <w:rFonts w:asciiTheme="majorBidi" w:hAnsiTheme="majorBidi" w:cstheme="majorBidi"/>
                <w:sz w:val="20"/>
                <w:szCs w:val="20"/>
              </w:rPr>
              <w:t xml:space="preserve">the Ministry approves their participation under a </w:t>
            </w:r>
            <w:r w:rsidRPr="00B84925">
              <w:rPr>
                <w:rStyle w:val="a5"/>
                <w:rFonts w:asciiTheme="majorBidi" w:hAnsiTheme="majorBidi" w:cstheme="majorBidi"/>
                <w:b w:val="0"/>
                <w:bCs w:val="0"/>
                <w:sz w:val="20"/>
                <w:szCs w:val="20"/>
              </w:rPr>
              <w:t>conflict management arrangement</w:t>
            </w:r>
            <w:r w:rsidRPr="00B84925">
              <w:rPr>
                <w:rFonts w:asciiTheme="majorBidi" w:hAnsiTheme="majorBidi" w:cstheme="majorBidi"/>
                <w:sz w:val="20"/>
                <w:szCs w:val="20"/>
              </w:rPr>
              <w:t xml:space="preserve"> to ensure that no actual conflict arises.</w:t>
            </w:r>
          </w:p>
          <w:p w14:paraId="0F0FD5AE" w14:textId="3EFE417D" w:rsidR="00B84925" w:rsidRPr="00B84925" w:rsidRDefault="00B84925" w:rsidP="00B84925">
            <w:pPr>
              <w:rPr>
                <w:rFonts w:asciiTheme="majorBidi" w:hAnsiTheme="majorBidi" w:cstheme="majorBidi"/>
                <w:sz w:val="20"/>
                <w:szCs w:val="20"/>
              </w:rPr>
            </w:pPr>
          </w:p>
          <w:p w14:paraId="55D11A82" w14:textId="77777777" w:rsidR="00B84925" w:rsidRPr="00B84925" w:rsidRDefault="00B84925" w:rsidP="00B84925">
            <w:pPr>
              <w:pStyle w:val="NormalWeb"/>
              <w:rPr>
                <w:rFonts w:asciiTheme="majorBidi" w:hAnsiTheme="majorBidi" w:cstheme="majorBidi"/>
                <w:sz w:val="20"/>
                <w:szCs w:val="20"/>
              </w:rPr>
            </w:pPr>
          </w:p>
        </w:tc>
      </w:tr>
      <w:tr w:rsidR="00B84925" w:rsidRPr="00B84925" w14:paraId="30E5115F" w14:textId="77777777" w:rsidTr="00B84925">
        <w:trPr>
          <w:cantSplit/>
          <w:jc w:val="center"/>
        </w:trPr>
        <w:tc>
          <w:tcPr>
            <w:tcW w:w="421" w:type="dxa"/>
          </w:tcPr>
          <w:p w14:paraId="61021F0C" w14:textId="4804AC18"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34</w:t>
            </w:r>
          </w:p>
        </w:tc>
        <w:tc>
          <w:tcPr>
            <w:tcW w:w="1842" w:type="dxa"/>
          </w:tcPr>
          <w:p w14:paraId="6BF39004" w14:textId="1111554D"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G1 pg.69</w:t>
            </w:r>
          </w:p>
        </w:tc>
        <w:tc>
          <w:tcPr>
            <w:tcW w:w="6379" w:type="dxa"/>
          </w:tcPr>
          <w:p w14:paraId="79E8D13A" w14:textId="7AE94C2A"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Please define the area - is it Israel?</w:t>
            </w:r>
          </w:p>
        </w:tc>
        <w:tc>
          <w:tcPr>
            <w:tcW w:w="6746" w:type="dxa"/>
          </w:tcPr>
          <w:p w14:paraId="36A89A13"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The Ministry clarifies that the term </w:t>
            </w:r>
            <w:r w:rsidRPr="00B84925">
              <w:rPr>
                <w:rStyle w:val="a4"/>
                <w:rFonts w:asciiTheme="majorBidi" w:hAnsiTheme="majorBidi" w:cstheme="majorBidi"/>
                <w:sz w:val="20"/>
                <w:szCs w:val="20"/>
              </w:rPr>
              <w:t>“in the area”</w:t>
            </w:r>
            <w:r w:rsidRPr="00B84925">
              <w:rPr>
                <w:rFonts w:asciiTheme="majorBidi" w:hAnsiTheme="majorBidi" w:cstheme="majorBidi"/>
                <w:sz w:val="20"/>
                <w:szCs w:val="20"/>
              </w:rPr>
              <w:t xml:space="preserve"> in Clause G1 refers to the </w:t>
            </w:r>
            <w:r w:rsidRPr="00B84925">
              <w:rPr>
                <w:rStyle w:val="a5"/>
                <w:rFonts w:asciiTheme="majorBidi" w:hAnsiTheme="majorBidi" w:cstheme="majorBidi"/>
                <w:b w:val="0"/>
                <w:bCs w:val="0"/>
                <w:sz w:val="20"/>
                <w:szCs w:val="20"/>
              </w:rPr>
              <w:t>territory of the State of Israel</w:t>
            </w:r>
            <w:r w:rsidRPr="00B84925">
              <w:rPr>
                <w:rFonts w:asciiTheme="majorBidi" w:hAnsiTheme="majorBidi" w:cstheme="majorBidi"/>
                <w:sz w:val="20"/>
                <w:szCs w:val="20"/>
              </w:rPr>
              <w:t xml:space="preserve"> and any </w:t>
            </w:r>
            <w:r w:rsidRPr="00B84925">
              <w:rPr>
                <w:rStyle w:val="a5"/>
                <w:rFonts w:asciiTheme="majorBidi" w:hAnsiTheme="majorBidi" w:cstheme="majorBidi"/>
                <w:b w:val="0"/>
                <w:bCs w:val="0"/>
                <w:sz w:val="20"/>
                <w:szCs w:val="20"/>
              </w:rPr>
              <w:t>offshore zones under Israeli jurisdiction or regulatory responsibility</w:t>
            </w:r>
            <w:r w:rsidRPr="00B84925">
              <w:rPr>
                <w:rFonts w:asciiTheme="majorBidi" w:hAnsiTheme="majorBidi" w:cstheme="majorBidi"/>
                <w:sz w:val="20"/>
                <w:szCs w:val="20"/>
              </w:rPr>
              <w:t xml:space="preserve">, including the </w:t>
            </w:r>
            <w:r w:rsidRPr="00B84925">
              <w:rPr>
                <w:rStyle w:val="a5"/>
                <w:rFonts w:asciiTheme="majorBidi" w:hAnsiTheme="majorBidi" w:cstheme="majorBidi"/>
                <w:b w:val="0"/>
                <w:bCs w:val="0"/>
                <w:sz w:val="20"/>
                <w:szCs w:val="20"/>
              </w:rPr>
              <w:t>Exclusive Economic Zone (EEZ)</w:t>
            </w:r>
            <w:r w:rsidRPr="00B84925">
              <w:rPr>
                <w:rFonts w:asciiTheme="majorBidi" w:hAnsiTheme="majorBidi" w:cstheme="majorBidi"/>
                <w:sz w:val="20"/>
                <w:szCs w:val="20"/>
              </w:rPr>
              <w:t xml:space="preserve"> where petroleum and natural gas activities are conducted under Israeli law and supervision.</w:t>
            </w:r>
          </w:p>
          <w:p w14:paraId="7D2BAD6E"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Accordingly, the conflict-of-interest declaration applies to any professional, commercial, or contractual relationship with stakeholders operating </w:t>
            </w:r>
            <w:r w:rsidRPr="00B84925">
              <w:rPr>
                <w:rStyle w:val="a5"/>
                <w:rFonts w:asciiTheme="majorBidi" w:hAnsiTheme="majorBidi" w:cstheme="majorBidi"/>
                <w:sz w:val="20"/>
                <w:szCs w:val="20"/>
              </w:rPr>
              <w:t xml:space="preserve">within or in </w:t>
            </w:r>
            <w:r w:rsidRPr="00B84925">
              <w:rPr>
                <w:rStyle w:val="a5"/>
                <w:rFonts w:asciiTheme="majorBidi" w:hAnsiTheme="majorBidi" w:cstheme="majorBidi"/>
                <w:b w:val="0"/>
                <w:bCs w:val="0"/>
                <w:sz w:val="20"/>
                <w:szCs w:val="20"/>
              </w:rPr>
              <w:t>connection with</w:t>
            </w:r>
            <w:r w:rsidRPr="00B84925">
              <w:rPr>
                <w:rFonts w:asciiTheme="majorBidi" w:hAnsiTheme="majorBidi" w:cstheme="majorBidi"/>
                <w:sz w:val="20"/>
                <w:szCs w:val="20"/>
              </w:rPr>
              <w:t xml:space="preserve"> Israel’s petroleum and natural gas sector, whether onshore or offshore.</w:t>
            </w:r>
          </w:p>
          <w:p w14:paraId="73AF8DEF" w14:textId="77777777" w:rsidR="00B84925" w:rsidRPr="00B84925" w:rsidRDefault="00B84925" w:rsidP="00B84925">
            <w:pPr>
              <w:pStyle w:val="NormalWeb"/>
              <w:rPr>
                <w:rFonts w:asciiTheme="majorBidi" w:hAnsiTheme="majorBidi" w:cstheme="majorBidi"/>
                <w:sz w:val="20"/>
                <w:szCs w:val="20"/>
              </w:rPr>
            </w:pPr>
          </w:p>
        </w:tc>
      </w:tr>
      <w:tr w:rsidR="00B84925" w:rsidRPr="00B84925" w14:paraId="2B9911C7" w14:textId="77777777" w:rsidTr="00B84925">
        <w:trPr>
          <w:cantSplit/>
          <w:jc w:val="center"/>
        </w:trPr>
        <w:tc>
          <w:tcPr>
            <w:tcW w:w="421" w:type="dxa"/>
          </w:tcPr>
          <w:p w14:paraId="79F9AB4A" w14:textId="3321DBF6"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35</w:t>
            </w:r>
          </w:p>
        </w:tc>
        <w:tc>
          <w:tcPr>
            <w:tcW w:w="1842" w:type="dxa"/>
          </w:tcPr>
          <w:p w14:paraId="5ED8339D" w14:textId="296DF26B" w:rsidR="00B84925" w:rsidRPr="00B84925" w:rsidRDefault="00B84925" w:rsidP="00B84925">
            <w:pPr>
              <w:rPr>
                <w:rFonts w:asciiTheme="majorBidi" w:hAnsiTheme="majorBidi" w:cstheme="majorBidi"/>
                <w:sz w:val="20"/>
                <w:szCs w:val="20"/>
              </w:rPr>
            </w:pPr>
            <w:r w:rsidRPr="00B84925">
              <w:rPr>
                <w:rFonts w:asciiTheme="majorBidi" w:hAnsiTheme="majorBidi" w:cstheme="majorBidi"/>
                <w:sz w:val="20"/>
                <w:szCs w:val="20"/>
              </w:rPr>
              <w:t>G1 pg.69</w:t>
            </w:r>
          </w:p>
        </w:tc>
        <w:tc>
          <w:tcPr>
            <w:tcW w:w="6379" w:type="dxa"/>
          </w:tcPr>
          <w:p w14:paraId="27410087" w14:textId="1D6E038C" w:rsidR="00B84925" w:rsidRPr="00B84925" w:rsidRDefault="00B84925" w:rsidP="00B84925">
            <w:pPr>
              <w:rPr>
                <w:rFonts w:asciiTheme="majorBidi" w:eastAsia="Times New Roman" w:hAnsiTheme="majorBidi" w:cstheme="majorBidi"/>
                <w:sz w:val="20"/>
                <w:szCs w:val="20"/>
                <w:lang w:eastAsia="en-GB"/>
              </w:rPr>
            </w:pPr>
            <w:r w:rsidRPr="00B84925">
              <w:rPr>
                <w:rFonts w:asciiTheme="majorBidi" w:eastAsia="Times New Roman" w:hAnsiTheme="majorBidi" w:cstheme="majorBidi"/>
                <w:sz w:val="20"/>
                <w:szCs w:val="20"/>
                <w:lang w:eastAsia="en-GB"/>
              </w:rPr>
              <w:t>Are we correct to assume this relates to work in Israel only?</w:t>
            </w:r>
          </w:p>
        </w:tc>
        <w:tc>
          <w:tcPr>
            <w:tcW w:w="6746" w:type="dxa"/>
          </w:tcPr>
          <w:p w14:paraId="02FE61F1"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The Ministry clarifies that the conflict-of-interest provisions under Clause G1 apply to any work or engagement with entities regulated by the Ministry of Energy of Israel, as well as with their parent companies, subsidiaries, or affiliates, </w:t>
            </w:r>
            <w:r w:rsidRPr="00B84925">
              <w:rPr>
                <w:rStyle w:val="a5"/>
                <w:rFonts w:asciiTheme="majorBidi" w:hAnsiTheme="majorBidi" w:cstheme="majorBidi"/>
                <w:b w:val="0"/>
                <w:bCs w:val="0"/>
                <w:sz w:val="20"/>
                <w:szCs w:val="20"/>
              </w:rPr>
              <w:t>to the extent that such work relates to petroleum or natural gas operations under Israeli regulatory supervision.</w:t>
            </w:r>
          </w:p>
          <w:p w14:paraId="74001B83" w14:textId="77777777" w:rsidR="00B84925" w:rsidRPr="00B84925" w:rsidRDefault="00B84925" w:rsidP="00B84925">
            <w:pPr>
              <w:pStyle w:val="NormalWeb"/>
              <w:rPr>
                <w:rFonts w:asciiTheme="majorBidi" w:hAnsiTheme="majorBidi" w:cstheme="majorBidi"/>
                <w:sz w:val="20"/>
                <w:szCs w:val="20"/>
              </w:rPr>
            </w:pPr>
            <w:r w:rsidRPr="00B84925">
              <w:rPr>
                <w:rFonts w:asciiTheme="majorBidi" w:hAnsiTheme="majorBidi" w:cstheme="majorBidi"/>
                <w:sz w:val="20"/>
                <w:szCs w:val="20"/>
              </w:rPr>
              <w:t xml:space="preserve">For the avoidance of doubt, this restriction </w:t>
            </w:r>
            <w:r w:rsidRPr="00B84925">
              <w:rPr>
                <w:rStyle w:val="a5"/>
                <w:rFonts w:asciiTheme="majorBidi" w:hAnsiTheme="majorBidi" w:cstheme="majorBidi"/>
                <w:b w:val="0"/>
                <w:bCs w:val="0"/>
                <w:sz w:val="20"/>
                <w:szCs w:val="20"/>
              </w:rPr>
              <w:t>does not apply</w:t>
            </w:r>
            <w:r w:rsidRPr="00B84925">
              <w:rPr>
                <w:rFonts w:asciiTheme="majorBidi" w:hAnsiTheme="majorBidi" w:cstheme="majorBidi"/>
                <w:sz w:val="20"/>
                <w:szCs w:val="20"/>
              </w:rPr>
              <w:t xml:space="preserve"> to work performed for a parent company, subsidiary, or affiliate of a regulated entity in connection with projects or operations </w:t>
            </w:r>
            <w:r w:rsidRPr="00B84925">
              <w:rPr>
                <w:rStyle w:val="a5"/>
                <w:rFonts w:asciiTheme="majorBidi" w:hAnsiTheme="majorBidi" w:cstheme="majorBidi"/>
                <w:b w:val="0"/>
                <w:bCs w:val="0"/>
                <w:sz w:val="20"/>
                <w:szCs w:val="20"/>
              </w:rPr>
              <w:t>entirely outside Israel and unrelated to activities regulated by the Ministry</w:t>
            </w:r>
            <w:r w:rsidRPr="00B84925">
              <w:rPr>
                <w:rFonts w:asciiTheme="majorBidi" w:hAnsiTheme="majorBidi" w:cstheme="majorBidi"/>
                <w:sz w:val="20"/>
                <w:szCs w:val="20"/>
              </w:rPr>
              <w:t>, provided that such relationships are</w:t>
            </w:r>
            <w:r w:rsidRPr="00B84925">
              <w:rPr>
                <w:rFonts w:asciiTheme="majorBidi" w:hAnsiTheme="majorBidi" w:cstheme="majorBidi"/>
                <w:b/>
                <w:bCs/>
                <w:sz w:val="20"/>
                <w:szCs w:val="20"/>
              </w:rPr>
              <w:t xml:space="preserve"> </w:t>
            </w:r>
            <w:r w:rsidRPr="00B84925">
              <w:rPr>
                <w:rStyle w:val="a5"/>
                <w:rFonts w:asciiTheme="majorBidi" w:hAnsiTheme="majorBidi" w:cstheme="majorBidi"/>
                <w:b w:val="0"/>
                <w:bCs w:val="0"/>
                <w:sz w:val="20"/>
                <w:szCs w:val="20"/>
              </w:rPr>
              <w:t>fully disclosed</w:t>
            </w:r>
            <w:r w:rsidRPr="00B84925">
              <w:rPr>
                <w:rFonts w:asciiTheme="majorBidi" w:hAnsiTheme="majorBidi" w:cstheme="majorBidi"/>
                <w:sz w:val="20"/>
                <w:szCs w:val="20"/>
              </w:rPr>
              <w:t xml:space="preserve"> in the proposal.</w:t>
            </w:r>
          </w:p>
          <w:p w14:paraId="03BE0381" w14:textId="77777777" w:rsidR="00B84925" w:rsidRPr="00B84925" w:rsidRDefault="00B84925" w:rsidP="00B84925">
            <w:pPr>
              <w:pStyle w:val="NormalWeb"/>
              <w:rPr>
                <w:rFonts w:asciiTheme="majorBidi" w:hAnsiTheme="majorBidi" w:cstheme="majorBidi"/>
                <w:sz w:val="20"/>
                <w:szCs w:val="20"/>
              </w:rPr>
            </w:pPr>
          </w:p>
        </w:tc>
      </w:tr>
      <w:tr w:rsidR="00B84925" w:rsidRPr="00B84925" w14:paraId="0349BE64" w14:textId="77777777" w:rsidTr="00B84925">
        <w:trPr>
          <w:cantSplit/>
          <w:jc w:val="center"/>
        </w:trPr>
        <w:tc>
          <w:tcPr>
            <w:tcW w:w="421" w:type="dxa"/>
          </w:tcPr>
          <w:p w14:paraId="58CB00FC" w14:textId="62482254" w:rsidR="00B84925" w:rsidRPr="00B84925" w:rsidRDefault="00B84925" w:rsidP="00B84925">
            <w:pPr>
              <w:rPr>
                <w:rFonts w:asciiTheme="majorBidi" w:hAnsiTheme="majorBidi" w:cstheme="majorBidi"/>
                <w:sz w:val="20"/>
                <w:szCs w:val="20"/>
              </w:rPr>
            </w:pPr>
            <w:r>
              <w:rPr>
                <w:rFonts w:asciiTheme="majorBidi" w:hAnsiTheme="majorBidi" w:cstheme="majorBidi"/>
                <w:sz w:val="20"/>
                <w:szCs w:val="20"/>
              </w:rPr>
              <w:t>36</w:t>
            </w:r>
          </w:p>
        </w:tc>
        <w:tc>
          <w:tcPr>
            <w:tcW w:w="1842" w:type="dxa"/>
          </w:tcPr>
          <w:p w14:paraId="7EF1B7FB" w14:textId="299FBCBF" w:rsidR="00B84925" w:rsidRPr="00B84925" w:rsidRDefault="00B84925" w:rsidP="00B84925">
            <w:pPr>
              <w:rPr>
                <w:rFonts w:asciiTheme="majorBidi" w:hAnsiTheme="majorBidi" w:cstheme="majorBidi"/>
                <w:sz w:val="20"/>
                <w:szCs w:val="20"/>
              </w:rPr>
            </w:pPr>
            <w:r w:rsidRPr="00B84925">
              <w:rPr>
                <w:rFonts w:asciiTheme="majorBidi" w:eastAsia="Times New Roman" w:hAnsiTheme="majorBidi" w:cstheme="majorBidi" w:hint="cs"/>
                <w:sz w:val="20"/>
                <w:szCs w:val="20"/>
                <w:lang w:bidi="he-IL"/>
              </w:rPr>
              <w:t>A</w:t>
            </w:r>
            <w:r w:rsidRPr="00B84925">
              <w:rPr>
                <w:rFonts w:asciiTheme="majorBidi" w:eastAsia="Times New Roman" w:hAnsiTheme="majorBidi" w:cstheme="majorBidi"/>
                <w:sz w:val="20"/>
                <w:szCs w:val="20"/>
                <w:lang w:val="en-US" w:bidi="he-IL"/>
              </w:rPr>
              <w:t>ppendix M</w:t>
            </w:r>
            <w:r w:rsidRPr="00B84925">
              <w:rPr>
                <w:rFonts w:asciiTheme="majorBidi" w:eastAsia="Times New Roman" w:hAnsiTheme="majorBidi" w:cstheme="majorBidi"/>
                <w:sz w:val="20"/>
                <w:szCs w:val="20"/>
              </w:rPr>
              <w:t xml:space="preserve"> </w:t>
            </w:r>
          </w:p>
        </w:tc>
        <w:tc>
          <w:tcPr>
            <w:tcW w:w="6379" w:type="dxa"/>
          </w:tcPr>
          <w:p w14:paraId="532F1656"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Can</w:t>
            </w:r>
            <w:r w:rsidRPr="00B84925">
              <w:rPr>
                <w:rFonts w:asciiTheme="majorBidi" w:eastAsia="Times New Roman" w:hAnsiTheme="majorBidi" w:cstheme="majorBidi" w:hint="cs"/>
                <w:rtl/>
                <w:lang w:val="en-US" w:bidi="he-IL"/>
              </w:rPr>
              <w:t xml:space="preserve"> </w:t>
            </w:r>
            <w:r w:rsidRPr="00B84925">
              <w:rPr>
                <w:rFonts w:asciiTheme="majorBidi" w:eastAsia="Times New Roman" w:hAnsiTheme="majorBidi" w:cstheme="majorBidi"/>
                <w:lang w:val="en-US" w:bidi="he-IL"/>
              </w:rPr>
              <w:t>you please review this and confirm that it will be accepted by the Ministry?</w:t>
            </w:r>
          </w:p>
          <w:p w14:paraId="5078BA1B"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Date: XX</w:t>
            </w:r>
            <w:r w:rsidRPr="00B84925">
              <w:rPr>
                <w:rFonts w:asciiTheme="majorBidi" w:eastAsia="Times New Roman" w:hAnsiTheme="majorBidi" w:cstheme="majorBidi"/>
                <w:lang w:val="en-US" w:bidi="he-IL"/>
              </w:rPr>
              <w:tab/>
            </w:r>
          </w:p>
          <w:p w14:paraId="428887FB"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To:</w:t>
            </w:r>
          </w:p>
          <w:p w14:paraId="0AD590C9"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The Government of Israel on behalf of the State of Israel through the Ministry of Energy and Infrastructure (hereinafter: “beneficiary”)</w:t>
            </w:r>
          </w:p>
          <w:p w14:paraId="3E203860"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p>
          <w:p w14:paraId="751F8E0B"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Re: Bid Guarantee ref. XX (hereinafter ”guarantee”)</w:t>
            </w:r>
          </w:p>
          <w:p w14:paraId="56992DA9"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 xml:space="preserve">the "Underlying Transaction": </w:t>
            </w:r>
          </w:p>
          <w:p w14:paraId="4D799B5D"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 xml:space="preserve">Basket 1: Upstream Oil and Gas Auditing, Inspection, HSE consulting services in Israel </w:t>
            </w:r>
          </w:p>
          <w:p w14:paraId="4D4A1900"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Basket 2: Consulting services for Evaluation and Advisory Services with regard to Hydrocarbon Resources and Reserves and Gas Storage Planning in Israel</w:t>
            </w:r>
          </w:p>
          <w:p w14:paraId="2EADE327"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p>
          <w:p w14:paraId="5FF013F3"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 xml:space="preserve">At the request of </w:t>
            </w:r>
            <w:r w:rsidRPr="00B84925">
              <w:rPr>
                <w:rFonts w:asciiTheme="majorBidi" w:eastAsia="Times New Roman" w:hAnsiTheme="majorBidi" w:cstheme="majorBidi"/>
                <w:lang w:val="en-US" w:bidi="he-IL"/>
              </w:rPr>
              <w:tab/>
            </w:r>
            <w:r w:rsidRPr="00B84925">
              <w:rPr>
                <w:rFonts w:asciiTheme="majorBidi" w:eastAsia="Times New Roman" w:hAnsiTheme="majorBidi" w:cstheme="majorBidi"/>
                <w:lang w:val="en-US" w:bidi="he-IL"/>
              </w:rPr>
              <w:tab/>
              <w:t xml:space="preserve">[name of Bidder, Member or Parent Company to be inserted] whose registered address is </w:t>
            </w:r>
            <w:r w:rsidRPr="00B84925">
              <w:rPr>
                <w:rFonts w:asciiTheme="majorBidi" w:eastAsia="Times New Roman" w:hAnsiTheme="majorBidi" w:cstheme="majorBidi"/>
                <w:lang w:val="en-US" w:bidi="he-IL"/>
              </w:rPr>
              <w:tab/>
              <w:t>, (hereinafter "Applicant"), we, HSBC Bank Plc, Israel Branch (hereinafter “Guarantor”),  hereby guarantee to pay to you any sum up to the amount of xx_______ New Israeli Shekels (In words:_XX_____ NIS) (hereinafter "Amount of the Guarantee").</w:t>
            </w:r>
          </w:p>
          <w:p w14:paraId="183A47BE"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We undertake to pay you, upon your first original written and purportedly signed demand, made by registered mail or courier, to our address mentioned above below, any sum specified in such demand up to the Amount of the Guarantee, immediately and no later than seven (7) bank business days from the date of receipt of your demand.</w:t>
            </w:r>
          </w:p>
          <w:p w14:paraId="0EDEFE2C" w14:textId="5EBC4220"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Your demand for payment of the Amount of the Guarantee may be affected in stages, and payments will be executed in accordance with your demand, provided that the overall total of the payments does not exceed the Amount of the Guarantee.</w:t>
            </w:r>
          </w:p>
          <w:p w14:paraId="1BC98FAA"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Each demand for payment under this guarantee must be received by us in writing at our address as follows:</w:t>
            </w:r>
          </w:p>
          <w:p w14:paraId="1E9930A5"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HSBC Bank Plc, Israel Branch, Amot Atrium building – 30th floor, 2 Jabotinsky St., Ramat Gan 5250501, Israel.Demand sent to us / received by us via facsimile or email shall not be considered as a demand in writing according to this guarantee.</w:t>
            </w:r>
          </w:p>
          <w:p w14:paraId="75EBF325"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Our undertaking pursuant to this guarantee is autonomous and unconditional and you will not be obligated to explain, reason or prove your demand or first demand payment from the Applicant.</w:t>
            </w:r>
          </w:p>
          <w:p w14:paraId="77DBBE09"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This Bank Guarantee may not be transferred, endorsed and/or assigned.</w:t>
            </w:r>
          </w:p>
          <w:p w14:paraId="4416592E" w14:textId="77777777" w:rsidR="00B84925" w:rsidRPr="00B84925" w:rsidRDefault="00B84925" w:rsidP="00B84925">
            <w:pPr>
              <w:pStyle w:val="af"/>
              <w:tabs>
                <w:tab w:val="left" w:leader="underscore" w:pos="2011"/>
              </w:tabs>
              <w:spacing w:after="320"/>
              <w:rPr>
                <w:rFonts w:asciiTheme="majorBidi" w:eastAsia="Times New Roman" w:hAnsiTheme="majorBidi" w:cstheme="majorBidi"/>
                <w:lang w:val="en-US" w:bidi="he-IL"/>
              </w:rPr>
            </w:pPr>
            <w:r w:rsidRPr="00B84925">
              <w:rPr>
                <w:rFonts w:asciiTheme="majorBidi" w:eastAsia="Times New Roman" w:hAnsiTheme="majorBidi" w:cstheme="majorBidi"/>
                <w:lang w:val="en-US" w:bidi="he-IL"/>
              </w:rPr>
              <w:t>This guarantee shall remain valid until the closing hours to the public on 28/02/2027</w:t>
            </w:r>
            <w:r w:rsidRPr="00B84925">
              <w:rPr>
                <w:rFonts w:asciiTheme="majorBidi" w:eastAsia="Times New Roman" w:hAnsiTheme="majorBidi" w:cstheme="majorBidi"/>
                <w:lang w:val="en-US" w:bidi="he-IL"/>
              </w:rPr>
              <w:footnoteReference w:id="1"/>
            </w:r>
            <w:r w:rsidRPr="00B84925">
              <w:rPr>
                <w:rFonts w:asciiTheme="majorBidi" w:eastAsia="Times New Roman" w:hAnsiTheme="majorBidi" w:cstheme="majorBidi"/>
                <w:lang w:val="en-US" w:bidi="he-IL"/>
              </w:rPr>
              <w:t xml:space="preserve"> (the "Expiry Date"), whether the original has been returned to us or not.</w:t>
            </w:r>
          </w:p>
          <w:p w14:paraId="28680192" w14:textId="77777777" w:rsidR="00B84925" w:rsidRPr="00B84925" w:rsidRDefault="00B84925" w:rsidP="00B84925">
            <w:pPr>
              <w:pStyle w:val="af"/>
              <w:rPr>
                <w:rFonts w:ascii="Times New Roman" w:hAnsi="Times New Roman" w:cs="Times New Roman"/>
                <w:color w:val="FF0000"/>
              </w:rPr>
            </w:pPr>
            <w:r w:rsidRPr="00B84925">
              <w:rPr>
                <w:rFonts w:ascii="Times New Roman" w:hAnsi="Times New Roman" w:cs="Times New Roman"/>
                <w:color w:val="FF0000"/>
              </w:rPr>
              <w:t>Any demand for payment, must reach our offices, on or before the Expiry Date, at the latest, whether it is a business day or not.</w:t>
            </w:r>
          </w:p>
          <w:p w14:paraId="3910F8EF" w14:textId="77777777" w:rsidR="00B84925" w:rsidRPr="00B84925" w:rsidRDefault="00B84925" w:rsidP="00B84925">
            <w:pPr>
              <w:pStyle w:val="af"/>
              <w:rPr>
                <w:rFonts w:ascii="Times New Roman" w:hAnsi="Times New Roman" w:cs="Times New Roman"/>
                <w:color w:val="FF0000"/>
              </w:rPr>
            </w:pPr>
            <w:r w:rsidRPr="00B84925">
              <w:rPr>
                <w:rFonts w:ascii="Times New Roman" w:hAnsi="Times New Roman" w:cs="Times New Roman"/>
                <w:color w:val="FF0000"/>
              </w:rPr>
              <w:t>After the Expiry Date this Bank Guarantee will automatically become null and void</w:t>
            </w:r>
          </w:p>
          <w:p w14:paraId="5B2AB9D2" w14:textId="77777777" w:rsidR="00B84925" w:rsidRPr="00B84925" w:rsidRDefault="00B84925" w:rsidP="00B84925">
            <w:pPr>
              <w:pStyle w:val="af"/>
              <w:rPr>
                <w:rFonts w:ascii="Times New Roman" w:hAnsi="Times New Roman" w:cs="Times New Roman"/>
                <w:i/>
                <w:iCs/>
                <w:color w:val="FF0000"/>
              </w:rPr>
            </w:pPr>
            <w:r w:rsidRPr="00B84925">
              <w:rPr>
                <w:rFonts w:ascii="Times New Roman" w:hAnsi="Times New Roman" w:cs="Times New Roman"/>
                <w:color w:val="FF0000"/>
              </w:rPr>
              <w:t>This Bank Guarantee shall be governed and construed in accordance with the laws of the State of Israel.</w:t>
            </w:r>
            <w:r w:rsidRPr="00B84925">
              <w:rPr>
                <w:rFonts w:ascii="Times New Roman" w:hAnsi="Times New Roman" w:cs="Times New Roman"/>
                <w:i/>
                <w:iCs/>
                <w:color w:val="FF0000"/>
              </w:rPr>
              <w:t xml:space="preserve"> </w:t>
            </w:r>
          </w:p>
          <w:p w14:paraId="112794B1" w14:textId="77777777" w:rsidR="00B84925" w:rsidRPr="00B84925" w:rsidRDefault="00B84925" w:rsidP="00B84925">
            <w:pPr>
              <w:rPr>
                <w:rFonts w:asciiTheme="majorBidi" w:hAnsiTheme="majorBidi" w:cstheme="majorBidi"/>
                <w:color w:val="FF0000"/>
                <w:sz w:val="20"/>
                <w:szCs w:val="20"/>
                <w:lang w:bidi="he-IL"/>
              </w:rPr>
            </w:pPr>
          </w:p>
          <w:p w14:paraId="1A2C22BB" w14:textId="77777777" w:rsidR="00B84925" w:rsidRPr="00B84925" w:rsidRDefault="00B84925" w:rsidP="00B84925">
            <w:pPr>
              <w:rPr>
                <w:rFonts w:asciiTheme="majorBidi" w:eastAsia="Times New Roman" w:hAnsiTheme="majorBidi" w:cstheme="majorBidi"/>
                <w:sz w:val="20"/>
                <w:szCs w:val="20"/>
                <w:lang w:eastAsia="en-GB"/>
              </w:rPr>
            </w:pPr>
          </w:p>
        </w:tc>
        <w:tc>
          <w:tcPr>
            <w:tcW w:w="6746" w:type="dxa"/>
          </w:tcPr>
          <w:p w14:paraId="2A3D0DDE" w14:textId="7018B8A3" w:rsidR="00B84925" w:rsidRPr="00B84925" w:rsidRDefault="00B84925" w:rsidP="00B84925">
            <w:pPr>
              <w:pStyle w:val="NormalWeb"/>
              <w:rPr>
                <w:rFonts w:asciiTheme="majorBidi" w:hAnsiTheme="majorBidi" w:cstheme="majorBidi"/>
                <w:sz w:val="20"/>
                <w:szCs w:val="20"/>
              </w:rPr>
            </w:pPr>
            <w:r w:rsidRPr="00B84925">
              <w:rPr>
                <w:rFonts w:asciiTheme="majorBidi" w:eastAsia="Times New Roman" w:hAnsiTheme="majorBidi" w:cstheme="majorBidi"/>
                <w:sz w:val="20"/>
                <w:szCs w:val="20"/>
              </w:rPr>
              <w:t>This text is acceptable.</w:t>
            </w:r>
          </w:p>
        </w:tc>
      </w:tr>
    </w:tbl>
    <w:p w14:paraId="3DD5ABD3" w14:textId="417CC4A6" w:rsidR="00444083" w:rsidRPr="00B84925" w:rsidRDefault="00444083" w:rsidP="00B84925">
      <w:pPr>
        <w:bidi/>
        <w:rPr>
          <w:rFonts w:asciiTheme="majorBidi" w:hAnsiTheme="majorBidi" w:cstheme="majorBidi"/>
          <w:sz w:val="20"/>
          <w:szCs w:val="20"/>
        </w:rPr>
      </w:pPr>
    </w:p>
    <w:p w14:paraId="4453F171" w14:textId="77777777" w:rsidR="000F6AF0" w:rsidRPr="00B84925" w:rsidRDefault="000F6AF0" w:rsidP="00B84925">
      <w:pPr>
        <w:rPr>
          <w:rFonts w:asciiTheme="majorBidi" w:hAnsiTheme="majorBidi" w:cstheme="majorBidi"/>
          <w:sz w:val="20"/>
          <w:szCs w:val="20"/>
        </w:rPr>
      </w:pPr>
    </w:p>
    <w:sectPr w:rsidR="000F6AF0" w:rsidRPr="00B84925" w:rsidSect="00AE6BB5">
      <w:pgSz w:w="16838" w:h="11906" w:orient="landscape"/>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51CC5" w14:textId="77777777" w:rsidR="00811A1B" w:rsidRDefault="00811A1B" w:rsidP="00D867CE">
      <w:pPr>
        <w:spacing w:after="0" w:line="240" w:lineRule="auto"/>
      </w:pPr>
      <w:r>
        <w:separator/>
      </w:r>
    </w:p>
  </w:endnote>
  <w:endnote w:type="continuationSeparator" w:id="0">
    <w:p w14:paraId="7DCD8E54" w14:textId="77777777" w:rsidR="00811A1B" w:rsidRDefault="00811A1B" w:rsidP="00D8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Cambria Math"/>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0BF5A" w14:textId="77777777" w:rsidR="00811A1B" w:rsidRDefault="00811A1B" w:rsidP="00D867CE">
      <w:pPr>
        <w:spacing w:after="0" w:line="240" w:lineRule="auto"/>
      </w:pPr>
      <w:r>
        <w:separator/>
      </w:r>
    </w:p>
  </w:footnote>
  <w:footnote w:type="continuationSeparator" w:id="0">
    <w:p w14:paraId="01907CCD" w14:textId="77777777" w:rsidR="00811A1B" w:rsidRDefault="00811A1B" w:rsidP="00D867CE">
      <w:pPr>
        <w:spacing w:after="0" w:line="240" w:lineRule="auto"/>
      </w:pPr>
      <w:r>
        <w:continuationSeparator/>
      </w:r>
    </w:p>
  </w:footnote>
  <w:footnote w:id="1">
    <w:p w14:paraId="36801741" w14:textId="7741BCFC" w:rsidR="00B84925" w:rsidRPr="00F512D0" w:rsidRDefault="00B84925" w:rsidP="00B84925">
      <w:pPr>
        <w:pStyle w:val="af2"/>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7483"/>
    <w:multiLevelType w:val="hybridMultilevel"/>
    <w:tmpl w:val="0BDE8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2352B3"/>
    <w:multiLevelType w:val="multilevel"/>
    <w:tmpl w:val="EAC66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D1332"/>
    <w:multiLevelType w:val="hybridMultilevel"/>
    <w:tmpl w:val="EA98888A"/>
    <w:lvl w:ilvl="0" w:tplc="04090019">
      <w:start w:val="1"/>
      <w:numFmt w:val="lowerLetter"/>
      <w:lvlText w:val="%1."/>
      <w:lvlJc w:val="left"/>
      <w:pPr>
        <w:ind w:left="502" w:hanging="360"/>
      </w:pPr>
      <w:rPr>
        <w:b w:val="0"/>
        <w:bCs w:val="0"/>
        <w:i w:val="0"/>
        <w:iCs w:val="0"/>
        <w:sz w:val="22"/>
        <w:szCs w:val="22"/>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2B00A7"/>
    <w:multiLevelType w:val="multilevel"/>
    <w:tmpl w:val="63005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0672B4"/>
    <w:multiLevelType w:val="multilevel"/>
    <w:tmpl w:val="7B94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746DF1"/>
    <w:multiLevelType w:val="multilevel"/>
    <w:tmpl w:val="FC389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D63228"/>
    <w:multiLevelType w:val="multilevel"/>
    <w:tmpl w:val="BA7CC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C735C"/>
    <w:multiLevelType w:val="multilevel"/>
    <w:tmpl w:val="D2803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0701A"/>
    <w:multiLevelType w:val="hybridMultilevel"/>
    <w:tmpl w:val="C1F8C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2DA6758"/>
    <w:multiLevelType w:val="multilevel"/>
    <w:tmpl w:val="E20EE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9021A7"/>
    <w:multiLevelType w:val="multilevel"/>
    <w:tmpl w:val="7D4A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5"/>
  </w:num>
  <w:num w:numId="4">
    <w:abstractNumId w:val="3"/>
  </w:num>
  <w:num w:numId="5">
    <w:abstractNumId w:val="0"/>
  </w:num>
  <w:num w:numId="6">
    <w:abstractNumId w:val="7"/>
  </w:num>
  <w:num w:numId="7">
    <w:abstractNumId w:val="8"/>
  </w:num>
  <w:num w:numId="8">
    <w:abstractNumId w:val="10"/>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17"/>
    <w:rsid w:val="000020F6"/>
    <w:rsid w:val="000021E6"/>
    <w:rsid w:val="00011FEE"/>
    <w:rsid w:val="00055D17"/>
    <w:rsid w:val="00074302"/>
    <w:rsid w:val="000B4358"/>
    <w:rsid w:val="000F6AF0"/>
    <w:rsid w:val="00146D3C"/>
    <w:rsid w:val="0016725E"/>
    <w:rsid w:val="00181E38"/>
    <w:rsid w:val="001D05F1"/>
    <w:rsid w:val="002F2EA4"/>
    <w:rsid w:val="00343D2A"/>
    <w:rsid w:val="00345874"/>
    <w:rsid w:val="00366E78"/>
    <w:rsid w:val="003932D9"/>
    <w:rsid w:val="003D13AC"/>
    <w:rsid w:val="003E0543"/>
    <w:rsid w:val="003F596D"/>
    <w:rsid w:val="00404C95"/>
    <w:rsid w:val="00434384"/>
    <w:rsid w:val="00444083"/>
    <w:rsid w:val="00457EEF"/>
    <w:rsid w:val="004627E7"/>
    <w:rsid w:val="0047460F"/>
    <w:rsid w:val="004D7AFB"/>
    <w:rsid w:val="00514F7F"/>
    <w:rsid w:val="0052363E"/>
    <w:rsid w:val="005715A2"/>
    <w:rsid w:val="0058262F"/>
    <w:rsid w:val="00584116"/>
    <w:rsid w:val="005853E8"/>
    <w:rsid w:val="00587C90"/>
    <w:rsid w:val="005906B3"/>
    <w:rsid w:val="005B154B"/>
    <w:rsid w:val="005E7C0F"/>
    <w:rsid w:val="00600FE5"/>
    <w:rsid w:val="00603723"/>
    <w:rsid w:val="00622986"/>
    <w:rsid w:val="00623D24"/>
    <w:rsid w:val="00632775"/>
    <w:rsid w:val="00651FA0"/>
    <w:rsid w:val="006A4442"/>
    <w:rsid w:val="006A7C85"/>
    <w:rsid w:val="006B198B"/>
    <w:rsid w:val="006F4368"/>
    <w:rsid w:val="00720C5A"/>
    <w:rsid w:val="00730AB5"/>
    <w:rsid w:val="00760DC4"/>
    <w:rsid w:val="0076755B"/>
    <w:rsid w:val="007D0F18"/>
    <w:rsid w:val="007F38D9"/>
    <w:rsid w:val="007F794C"/>
    <w:rsid w:val="00811A1B"/>
    <w:rsid w:val="00815325"/>
    <w:rsid w:val="00873513"/>
    <w:rsid w:val="00887A05"/>
    <w:rsid w:val="008D5C9A"/>
    <w:rsid w:val="009167A9"/>
    <w:rsid w:val="00981B22"/>
    <w:rsid w:val="00984EF2"/>
    <w:rsid w:val="009D10AC"/>
    <w:rsid w:val="009E701B"/>
    <w:rsid w:val="009F71A8"/>
    <w:rsid w:val="00A3292F"/>
    <w:rsid w:val="00A36039"/>
    <w:rsid w:val="00A945EE"/>
    <w:rsid w:val="00AB56BA"/>
    <w:rsid w:val="00AE47F6"/>
    <w:rsid w:val="00AE6BB5"/>
    <w:rsid w:val="00B17CDD"/>
    <w:rsid w:val="00B3746B"/>
    <w:rsid w:val="00B4791B"/>
    <w:rsid w:val="00B62399"/>
    <w:rsid w:val="00B67DF2"/>
    <w:rsid w:val="00B84925"/>
    <w:rsid w:val="00BE1E1B"/>
    <w:rsid w:val="00C2737A"/>
    <w:rsid w:val="00C30CAE"/>
    <w:rsid w:val="00C72A4B"/>
    <w:rsid w:val="00C80CC6"/>
    <w:rsid w:val="00CA79CE"/>
    <w:rsid w:val="00CB514C"/>
    <w:rsid w:val="00CC3A54"/>
    <w:rsid w:val="00CD6438"/>
    <w:rsid w:val="00CF5FE5"/>
    <w:rsid w:val="00D07797"/>
    <w:rsid w:val="00D17B97"/>
    <w:rsid w:val="00D80A62"/>
    <w:rsid w:val="00D821A7"/>
    <w:rsid w:val="00D867CE"/>
    <w:rsid w:val="00DB6E7C"/>
    <w:rsid w:val="00DE4C57"/>
    <w:rsid w:val="00E660DF"/>
    <w:rsid w:val="00E85DCA"/>
    <w:rsid w:val="00E94427"/>
    <w:rsid w:val="00F3497B"/>
    <w:rsid w:val="00F512D0"/>
    <w:rsid w:val="00F56E69"/>
    <w:rsid w:val="00FF4B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13B7"/>
  <w15:chartTrackingRefBased/>
  <w15:docId w15:val="{0E9AC8AC-B0A5-4686-AA4F-F56C27EB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D17"/>
    <w:pPr>
      <w:spacing w:line="278" w:lineRule="auto"/>
    </w:pPr>
    <w:rPr>
      <w:kern w:val="2"/>
      <w:sz w:val="24"/>
      <w:szCs w:val="24"/>
      <w:lang w:val="en-GB"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59"/>
    <w:rsid w:val="0044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AE6BB5"/>
    <w:pPr>
      <w:spacing w:before="100" w:beforeAutospacing="1" w:after="100" w:afterAutospacing="1" w:line="240" w:lineRule="auto"/>
    </w:pPr>
    <w:rPr>
      <w:rFonts w:ascii="Calibri" w:hAnsi="Calibri" w:cs="Calibri"/>
      <w:kern w:val="0"/>
      <w:sz w:val="22"/>
      <w:szCs w:val="22"/>
      <w:lang w:val="en-US" w:bidi="he-IL"/>
      <w14:ligatures w14:val="none"/>
    </w:rPr>
  </w:style>
  <w:style w:type="character" w:styleId="a4">
    <w:name w:val="Emphasis"/>
    <w:basedOn w:val="a0"/>
    <w:uiPriority w:val="20"/>
    <w:qFormat/>
    <w:rsid w:val="00AE6BB5"/>
    <w:rPr>
      <w:i/>
      <w:iCs/>
    </w:rPr>
  </w:style>
  <w:style w:type="character" w:styleId="a5">
    <w:name w:val="Strong"/>
    <w:basedOn w:val="a0"/>
    <w:uiPriority w:val="22"/>
    <w:qFormat/>
    <w:rsid w:val="00AE6BB5"/>
    <w:rPr>
      <w:b/>
      <w:bCs/>
    </w:rPr>
  </w:style>
  <w:style w:type="character" w:styleId="a6">
    <w:name w:val="annotation reference"/>
    <w:basedOn w:val="a0"/>
    <w:uiPriority w:val="99"/>
    <w:semiHidden/>
    <w:unhideWhenUsed/>
    <w:rsid w:val="00434384"/>
    <w:rPr>
      <w:sz w:val="16"/>
      <w:szCs w:val="16"/>
    </w:rPr>
  </w:style>
  <w:style w:type="paragraph" w:styleId="a7">
    <w:name w:val="annotation text"/>
    <w:basedOn w:val="a"/>
    <w:link w:val="a8"/>
    <w:uiPriority w:val="99"/>
    <w:unhideWhenUsed/>
    <w:rsid w:val="00434384"/>
    <w:pPr>
      <w:spacing w:line="240" w:lineRule="auto"/>
    </w:pPr>
    <w:rPr>
      <w:sz w:val="20"/>
      <w:szCs w:val="20"/>
    </w:rPr>
  </w:style>
  <w:style w:type="character" w:customStyle="1" w:styleId="a8">
    <w:name w:val="טקסט הערה תו"/>
    <w:basedOn w:val="a0"/>
    <w:link w:val="a7"/>
    <w:uiPriority w:val="99"/>
    <w:rsid w:val="00434384"/>
    <w:rPr>
      <w:kern w:val="2"/>
      <w:sz w:val="20"/>
      <w:szCs w:val="20"/>
      <w:lang w:val="en-GB" w:bidi="ar-SA"/>
      <w14:ligatures w14:val="standardContextual"/>
    </w:rPr>
  </w:style>
  <w:style w:type="paragraph" w:styleId="a9">
    <w:name w:val="annotation subject"/>
    <w:basedOn w:val="a7"/>
    <w:next w:val="a7"/>
    <w:link w:val="aa"/>
    <w:uiPriority w:val="99"/>
    <w:semiHidden/>
    <w:unhideWhenUsed/>
    <w:rsid w:val="00434384"/>
    <w:rPr>
      <w:b/>
      <w:bCs/>
    </w:rPr>
  </w:style>
  <w:style w:type="character" w:customStyle="1" w:styleId="aa">
    <w:name w:val="נושא הערה תו"/>
    <w:basedOn w:val="a8"/>
    <w:link w:val="a9"/>
    <w:uiPriority w:val="99"/>
    <w:semiHidden/>
    <w:rsid w:val="00434384"/>
    <w:rPr>
      <w:b/>
      <w:bCs/>
      <w:kern w:val="2"/>
      <w:sz w:val="20"/>
      <w:szCs w:val="20"/>
      <w:lang w:val="en-GB" w:bidi="ar-SA"/>
      <w14:ligatures w14:val="standardContextual"/>
    </w:rPr>
  </w:style>
  <w:style w:type="paragraph" w:styleId="ab">
    <w:name w:val="List Paragraph"/>
    <w:aliases w:val="LP1,פיסקת bullets,פיסקת רשימה11,List Paragraph1,נספח 2 מתוקן,lp1,Bullet List,FooterText,numbered,Paragraphe de liste1,x.x.x.x,מכרזים - טקסט סעיפים,List Paragraph_0,List Paragraph_1,LP11,LP111,LP12,LP121,LP13,LP14,LP15,List Paragraph_01"/>
    <w:basedOn w:val="a"/>
    <w:link w:val="ac"/>
    <w:uiPriority w:val="34"/>
    <w:qFormat/>
    <w:rsid w:val="001D05F1"/>
    <w:pPr>
      <w:ind w:left="720"/>
      <w:contextualSpacing/>
    </w:pPr>
  </w:style>
  <w:style w:type="paragraph" w:styleId="ad">
    <w:name w:val="Balloon Text"/>
    <w:basedOn w:val="a"/>
    <w:link w:val="ae"/>
    <w:uiPriority w:val="99"/>
    <w:semiHidden/>
    <w:unhideWhenUsed/>
    <w:rsid w:val="00D17B97"/>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D17B97"/>
    <w:rPr>
      <w:rFonts w:ascii="Tahoma" w:hAnsi="Tahoma" w:cs="Tahoma"/>
      <w:kern w:val="2"/>
      <w:sz w:val="18"/>
      <w:szCs w:val="18"/>
      <w:lang w:val="en-GB" w:bidi="ar-SA"/>
      <w14:ligatures w14:val="standardContextual"/>
    </w:rPr>
  </w:style>
  <w:style w:type="character" w:customStyle="1" w:styleId="ac">
    <w:name w:val="פיסקת רשימה תו"/>
    <w:aliases w:val="LP1 תו,פיסקת bullets תו,פיסקת רשימה11 תו,List Paragraph1 תו,נספח 2 מתוקן תו,lp1 תו,Bullet List תו,FooterText תו,numbered תו,Paragraphe de liste1 תו,x.x.x.x תו,מכרזים - טקסט סעיפים תו,List Paragraph_0 תו,List Paragraph_1 תו,LP11 תו,LP12 תו"/>
    <w:basedOn w:val="a0"/>
    <w:link w:val="ab"/>
    <w:uiPriority w:val="34"/>
    <w:locked/>
    <w:rsid w:val="00AE47F6"/>
    <w:rPr>
      <w:kern w:val="2"/>
      <w:sz w:val="24"/>
      <w:szCs w:val="24"/>
      <w:lang w:val="en-GB" w:bidi="ar-SA"/>
      <w14:ligatures w14:val="standardContextual"/>
    </w:rPr>
  </w:style>
  <w:style w:type="paragraph" w:styleId="af">
    <w:name w:val="Body Text"/>
    <w:basedOn w:val="a"/>
    <w:link w:val="af0"/>
    <w:uiPriority w:val="99"/>
    <w:qFormat/>
    <w:rsid w:val="00D867CE"/>
    <w:pPr>
      <w:spacing w:before="120" w:after="120" w:line="259" w:lineRule="auto"/>
    </w:pPr>
    <w:rPr>
      <w:rFonts w:ascii="Source Sans Pro" w:hAnsi="Source Sans Pro" w:cs="Verdana"/>
      <w:color w:val="221E1F"/>
      <w:kern w:val="0"/>
      <w:sz w:val="20"/>
      <w:szCs w:val="20"/>
      <w14:ligatures w14:val="none"/>
    </w:rPr>
  </w:style>
  <w:style w:type="character" w:customStyle="1" w:styleId="af0">
    <w:name w:val="גוף טקסט תו"/>
    <w:basedOn w:val="a0"/>
    <w:link w:val="af"/>
    <w:uiPriority w:val="99"/>
    <w:rsid w:val="00D867CE"/>
    <w:rPr>
      <w:rFonts w:ascii="Source Sans Pro" w:hAnsi="Source Sans Pro" w:cs="Verdana"/>
      <w:color w:val="221E1F"/>
      <w:sz w:val="20"/>
      <w:szCs w:val="20"/>
      <w:lang w:val="en-GB" w:bidi="ar-SA"/>
    </w:rPr>
  </w:style>
  <w:style w:type="character" w:styleId="af1">
    <w:name w:val="footnote reference"/>
    <w:basedOn w:val="a0"/>
    <w:uiPriority w:val="99"/>
    <w:rsid w:val="00D867CE"/>
    <w:rPr>
      <w:vertAlign w:val="superscript"/>
      <w:lang w:val="en-GB"/>
    </w:rPr>
  </w:style>
  <w:style w:type="paragraph" w:styleId="af2">
    <w:name w:val="footnote text"/>
    <w:basedOn w:val="a"/>
    <w:link w:val="af3"/>
    <w:uiPriority w:val="99"/>
    <w:rsid w:val="00D867CE"/>
    <w:pPr>
      <w:spacing w:before="120" w:after="120" w:line="240" w:lineRule="atLeast"/>
      <w:ind w:left="85" w:hanging="85"/>
    </w:pPr>
    <w:rPr>
      <w:rFonts w:ascii="Source Sans Pro" w:hAnsi="Source Sans Pro" w:cs="Verdana"/>
      <w:color w:val="221E1F"/>
      <w:kern w:val="0"/>
      <w:sz w:val="16"/>
      <w:szCs w:val="20"/>
      <w14:ligatures w14:val="none"/>
    </w:rPr>
  </w:style>
  <w:style w:type="character" w:customStyle="1" w:styleId="af3">
    <w:name w:val="טקסט הערת שוליים תו"/>
    <w:basedOn w:val="a0"/>
    <w:link w:val="af2"/>
    <w:uiPriority w:val="99"/>
    <w:rsid w:val="00D867CE"/>
    <w:rPr>
      <w:rFonts w:ascii="Source Sans Pro" w:hAnsi="Source Sans Pro" w:cs="Verdana"/>
      <w:color w:val="221E1F"/>
      <w:sz w:val="16"/>
      <w:szCs w:val="20"/>
      <w:lang w:val="en-GB" w:bidi="ar-SA"/>
    </w:rPr>
  </w:style>
  <w:style w:type="paragraph" w:customStyle="1" w:styleId="Para0">
    <w:name w:val="Para0"/>
    <w:basedOn w:val="a"/>
    <w:rsid w:val="00D867CE"/>
    <w:pPr>
      <w:spacing w:before="120" w:after="0" w:line="240" w:lineRule="atLeast"/>
      <w:jc w:val="both"/>
    </w:pPr>
    <w:rPr>
      <w:rFonts w:ascii="Times New Roman" w:eastAsia="Times New Roman" w:hAnsi="Times New Roman" w:cs="David"/>
      <w:kern w:val="0"/>
      <w:lang w:val="en-US" w:eastAsia="he-IL" w:bidi="he-IL"/>
      <w14:ligatures w14:val="none"/>
    </w:rPr>
  </w:style>
  <w:style w:type="character" w:customStyle="1" w:styleId="Bodytext2">
    <w:name w:val="Body text (2)_"/>
    <w:basedOn w:val="a0"/>
    <w:link w:val="Bodytext20"/>
    <w:rsid w:val="00D867CE"/>
    <w:rPr>
      <w:rFonts w:ascii="Times New Roman" w:eastAsia="Times New Roman" w:hAnsi="Times New Roman" w:cs="Times New Roman"/>
      <w:i/>
      <w:iCs/>
    </w:rPr>
  </w:style>
  <w:style w:type="paragraph" w:customStyle="1" w:styleId="Bodytext20">
    <w:name w:val="Body text (2)"/>
    <w:basedOn w:val="a"/>
    <w:link w:val="Bodytext2"/>
    <w:rsid w:val="00D867CE"/>
    <w:pPr>
      <w:widowControl w:val="0"/>
      <w:spacing w:after="540" w:line="240" w:lineRule="auto"/>
    </w:pPr>
    <w:rPr>
      <w:rFonts w:ascii="Times New Roman" w:eastAsia="Times New Roman" w:hAnsi="Times New Roman" w:cs="Times New Roman"/>
      <w:i/>
      <w:iCs/>
      <w:kern w:val="0"/>
      <w:sz w:val="22"/>
      <w:szCs w:val="22"/>
      <w:lang w:val="en-US"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177">
      <w:bodyDiv w:val="1"/>
      <w:marLeft w:val="0"/>
      <w:marRight w:val="0"/>
      <w:marTop w:val="0"/>
      <w:marBottom w:val="0"/>
      <w:divBdr>
        <w:top w:val="none" w:sz="0" w:space="0" w:color="auto"/>
        <w:left w:val="none" w:sz="0" w:space="0" w:color="auto"/>
        <w:bottom w:val="none" w:sz="0" w:space="0" w:color="auto"/>
        <w:right w:val="none" w:sz="0" w:space="0" w:color="auto"/>
      </w:divBdr>
    </w:div>
    <w:div w:id="9919260">
      <w:bodyDiv w:val="1"/>
      <w:marLeft w:val="0"/>
      <w:marRight w:val="0"/>
      <w:marTop w:val="0"/>
      <w:marBottom w:val="0"/>
      <w:divBdr>
        <w:top w:val="none" w:sz="0" w:space="0" w:color="auto"/>
        <w:left w:val="none" w:sz="0" w:space="0" w:color="auto"/>
        <w:bottom w:val="none" w:sz="0" w:space="0" w:color="auto"/>
        <w:right w:val="none" w:sz="0" w:space="0" w:color="auto"/>
      </w:divBdr>
    </w:div>
    <w:div w:id="251083833">
      <w:bodyDiv w:val="1"/>
      <w:marLeft w:val="0"/>
      <w:marRight w:val="0"/>
      <w:marTop w:val="0"/>
      <w:marBottom w:val="0"/>
      <w:divBdr>
        <w:top w:val="none" w:sz="0" w:space="0" w:color="auto"/>
        <w:left w:val="none" w:sz="0" w:space="0" w:color="auto"/>
        <w:bottom w:val="none" w:sz="0" w:space="0" w:color="auto"/>
        <w:right w:val="none" w:sz="0" w:space="0" w:color="auto"/>
      </w:divBdr>
    </w:div>
    <w:div w:id="338510167">
      <w:bodyDiv w:val="1"/>
      <w:marLeft w:val="0"/>
      <w:marRight w:val="0"/>
      <w:marTop w:val="0"/>
      <w:marBottom w:val="0"/>
      <w:divBdr>
        <w:top w:val="none" w:sz="0" w:space="0" w:color="auto"/>
        <w:left w:val="none" w:sz="0" w:space="0" w:color="auto"/>
        <w:bottom w:val="none" w:sz="0" w:space="0" w:color="auto"/>
        <w:right w:val="none" w:sz="0" w:space="0" w:color="auto"/>
      </w:divBdr>
    </w:div>
    <w:div w:id="424696430">
      <w:bodyDiv w:val="1"/>
      <w:marLeft w:val="0"/>
      <w:marRight w:val="0"/>
      <w:marTop w:val="0"/>
      <w:marBottom w:val="0"/>
      <w:divBdr>
        <w:top w:val="none" w:sz="0" w:space="0" w:color="auto"/>
        <w:left w:val="none" w:sz="0" w:space="0" w:color="auto"/>
        <w:bottom w:val="none" w:sz="0" w:space="0" w:color="auto"/>
        <w:right w:val="none" w:sz="0" w:space="0" w:color="auto"/>
      </w:divBdr>
      <w:divsChild>
        <w:div w:id="791901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8164053">
      <w:bodyDiv w:val="1"/>
      <w:marLeft w:val="0"/>
      <w:marRight w:val="0"/>
      <w:marTop w:val="0"/>
      <w:marBottom w:val="0"/>
      <w:divBdr>
        <w:top w:val="none" w:sz="0" w:space="0" w:color="auto"/>
        <w:left w:val="none" w:sz="0" w:space="0" w:color="auto"/>
        <w:bottom w:val="none" w:sz="0" w:space="0" w:color="auto"/>
        <w:right w:val="none" w:sz="0" w:space="0" w:color="auto"/>
      </w:divBdr>
    </w:div>
    <w:div w:id="453259655">
      <w:bodyDiv w:val="1"/>
      <w:marLeft w:val="0"/>
      <w:marRight w:val="0"/>
      <w:marTop w:val="0"/>
      <w:marBottom w:val="0"/>
      <w:divBdr>
        <w:top w:val="none" w:sz="0" w:space="0" w:color="auto"/>
        <w:left w:val="none" w:sz="0" w:space="0" w:color="auto"/>
        <w:bottom w:val="none" w:sz="0" w:space="0" w:color="auto"/>
        <w:right w:val="none" w:sz="0" w:space="0" w:color="auto"/>
      </w:divBdr>
    </w:div>
    <w:div w:id="633945477">
      <w:bodyDiv w:val="1"/>
      <w:marLeft w:val="0"/>
      <w:marRight w:val="0"/>
      <w:marTop w:val="0"/>
      <w:marBottom w:val="0"/>
      <w:divBdr>
        <w:top w:val="none" w:sz="0" w:space="0" w:color="auto"/>
        <w:left w:val="none" w:sz="0" w:space="0" w:color="auto"/>
        <w:bottom w:val="none" w:sz="0" w:space="0" w:color="auto"/>
        <w:right w:val="none" w:sz="0" w:space="0" w:color="auto"/>
      </w:divBdr>
    </w:div>
    <w:div w:id="825705959">
      <w:bodyDiv w:val="1"/>
      <w:marLeft w:val="0"/>
      <w:marRight w:val="0"/>
      <w:marTop w:val="0"/>
      <w:marBottom w:val="0"/>
      <w:divBdr>
        <w:top w:val="none" w:sz="0" w:space="0" w:color="auto"/>
        <w:left w:val="none" w:sz="0" w:space="0" w:color="auto"/>
        <w:bottom w:val="none" w:sz="0" w:space="0" w:color="auto"/>
        <w:right w:val="none" w:sz="0" w:space="0" w:color="auto"/>
      </w:divBdr>
    </w:div>
    <w:div w:id="865681576">
      <w:bodyDiv w:val="1"/>
      <w:marLeft w:val="0"/>
      <w:marRight w:val="0"/>
      <w:marTop w:val="0"/>
      <w:marBottom w:val="0"/>
      <w:divBdr>
        <w:top w:val="none" w:sz="0" w:space="0" w:color="auto"/>
        <w:left w:val="none" w:sz="0" w:space="0" w:color="auto"/>
        <w:bottom w:val="none" w:sz="0" w:space="0" w:color="auto"/>
        <w:right w:val="none" w:sz="0" w:space="0" w:color="auto"/>
      </w:divBdr>
    </w:div>
    <w:div w:id="1030453359">
      <w:bodyDiv w:val="1"/>
      <w:marLeft w:val="0"/>
      <w:marRight w:val="0"/>
      <w:marTop w:val="0"/>
      <w:marBottom w:val="0"/>
      <w:divBdr>
        <w:top w:val="none" w:sz="0" w:space="0" w:color="auto"/>
        <w:left w:val="none" w:sz="0" w:space="0" w:color="auto"/>
        <w:bottom w:val="none" w:sz="0" w:space="0" w:color="auto"/>
        <w:right w:val="none" w:sz="0" w:space="0" w:color="auto"/>
      </w:divBdr>
    </w:div>
    <w:div w:id="1104837101">
      <w:bodyDiv w:val="1"/>
      <w:marLeft w:val="0"/>
      <w:marRight w:val="0"/>
      <w:marTop w:val="0"/>
      <w:marBottom w:val="0"/>
      <w:divBdr>
        <w:top w:val="none" w:sz="0" w:space="0" w:color="auto"/>
        <w:left w:val="none" w:sz="0" w:space="0" w:color="auto"/>
        <w:bottom w:val="none" w:sz="0" w:space="0" w:color="auto"/>
        <w:right w:val="none" w:sz="0" w:space="0" w:color="auto"/>
      </w:divBdr>
    </w:div>
    <w:div w:id="1120802855">
      <w:bodyDiv w:val="1"/>
      <w:marLeft w:val="0"/>
      <w:marRight w:val="0"/>
      <w:marTop w:val="0"/>
      <w:marBottom w:val="0"/>
      <w:divBdr>
        <w:top w:val="none" w:sz="0" w:space="0" w:color="auto"/>
        <w:left w:val="none" w:sz="0" w:space="0" w:color="auto"/>
        <w:bottom w:val="none" w:sz="0" w:space="0" w:color="auto"/>
        <w:right w:val="none" w:sz="0" w:space="0" w:color="auto"/>
      </w:divBdr>
    </w:div>
    <w:div w:id="1179542434">
      <w:bodyDiv w:val="1"/>
      <w:marLeft w:val="0"/>
      <w:marRight w:val="0"/>
      <w:marTop w:val="0"/>
      <w:marBottom w:val="0"/>
      <w:divBdr>
        <w:top w:val="none" w:sz="0" w:space="0" w:color="auto"/>
        <w:left w:val="none" w:sz="0" w:space="0" w:color="auto"/>
        <w:bottom w:val="none" w:sz="0" w:space="0" w:color="auto"/>
        <w:right w:val="none" w:sz="0" w:space="0" w:color="auto"/>
      </w:divBdr>
    </w:div>
    <w:div w:id="1189567054">
      <w:bodyDiv w:val="1"/>
      <w:marLeft w:val="0"/>
      <w:marRight w:val="0"/>
      <w:marTop w:val="0"/>
      <w:marBottom w:val="0"/>
      <w:divBdr>
        <w:top w:val="none" w:sz="0" w:space="0" w:color="auto"/>
        <w:left w:val="none" w:sz="0" w:space="0" w:color="auto"/>
        <w:bottom w:val="none" w:sz="0" w:space="0" w:color="auto"/>
        <w:right w:val="none" w:sz="0" w:space="0" w:color="auto"/>
      </w:divBdr>
      <w:divsChild>
        <w:div w:id="1553955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158817">
      <w:bodyDiv w:val="1"/>
      <w:marLeft w:val="0"/>
      <w:marRight w:val="0"/>
      <w:marTop w:val="0"/>
      <w:marBottom w:val="0"/>
      <w:divBdr>
        <w:top w:val="none" w:sz="0" w:space="0" w:color="auto"/>
        <w:left w:val="none" w:sz="0" w:space="0" w:color="auto"/>
        <w:bottom w:val="none" w:sz="0" w:space="0" w:color="auto"/>
        <w:right w:val="none" w:sz="0" w:space="0" w:color="auto"/>
      </w:divBdr>
    </w:div>
    <w:div w:id="1253314009">
      <w:bodyDiv w:val="1"/>
      <w:marLeft w:val="0"/>
      <w:marRight w:val="0"/>
      <w:marTop w:val="0"/>
      <w:marBottom w:val="0"/>
      <w:divBdr>
        <w:top w:val="none" w:sz="0" w:space="0" w:color="auto"/>
        <w:left w:val="none" w:sz="0" w:space="0" w:color="auto"/>
        <w:bottom w:val="none" w:sz="0" w:space="0" w:color="auto"/>
        <w:right w:val="none" w:sz="0" w:space="0" w:color="auto"/>
      </w:divBdr>
      <w:divsChild>
        <w:div w:id="549726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429160">
      <w:bodyDiv w:val="1"/>
      <w:marLeft w:val="0"/>
      <w:marRight w:val="0"/>
      <w:marTop w:val="0"/>
      <w:marBottom w:val="0"/>
      <w:divBdr>
        <w:top w:val="none" w:sz="0" w:space="0" w:color="auto"/>
        <w:left w:val="none" w:sz="0" w:space="0" w:color="auto"/>
        <w:bottom w:val="none" w:sz="0" w:space="0" w:color="auto"/>
        <w:right w:val="none" w:sz="0" w:space="0" w:color="auto"/>
      </w:divBdr>
    </w:div>
    <w:div w:id="1292050244">
      <w:bodyDiv w:val="1"/>
      <w:marLeft w:val="0"/>
      <w:marRight w:val="0"/>
      <w:marTop w:val="0"/>
      <w:marBottom w:val="0"/>
      <w:divBdr>
        <w:top w:val="none" w:sz="0" w:space="0" w:color="auto"/>
        <w:left w:val="none" w:sz="0" w:space="0" w:color="auto"/>
        <w:bottom w:val="none" w:sz="0" w:space="0" w:color="auto"/>
        <w:right w:val="none" w:sz="0" w:space="0" w:color="auto"/>
      </w:divBdr>
    </w:div>
    <w:div w:id="1406416789">
      <w:bodyDiv w:val="1"/>
      <w:marLeft w:val="0"/>
      <w:marRight w:val="0"/>
      <w:marTop w:val="0"/>
      <w:marBottom w:val="0"/>
      <w:divBdr>
        <w:top w:val="none" w:sz="0" w:space="0" w:color="auto"/>
        <w:left w:val="none" w:sz="0" w:space="0" w:color="auto"/>
        <w:bottom w:val="none" w:sz="0" w:space="0" w:color="auto"/>
        <w:right w:val="none" w:sz="0" w:space="0" w:color="auto"/>
      </w:divBdr>
    </w:div>
    <w:div w:id="1553149691">
      <w:bodyDiv w:val="1"/>
      <w:marLeft w:val="0"/>
      <w:marRight w:val="0"/>
      <w:marTop w:val="0"/>
      <w:marBottom w:val="0"/>
      <w:divBdr>
        <w:top w:val="none" w:sz="0" w:space="0" w:color="auto"/>
        <w:left w:val="none" w:sz="0" w:space="0" w:color="auto"/>
        <w:bottom w:val="none" w:sz="0" w:space="0" w:color="auto"/>
        <w:right w:val="none" w:sz="0" w:space="0" w:color="auto"/>
      </w:divBdr>
    </w:div>
    <w:div w:id="1599484276">
      <w:bodyDiv w:val="1"/>
      <w:marLeft w:val="0"/>
      <w:marRight w:val="0"/>
      <w:marTop w:val="0"/>
      <w:marBottom w:val="0"/>
      <w:divBdr>
        <w:top w:val="none" w:sz="0" w:space="0" w:color="auto"/>
        <w:left w:val="none" w:sz="0" w:space="0" w:color="auto"/>
        <w:bottom w:val="none" w:sz="0" w:space="0" w:color="auto"/>
        <w:right w:val="none" w:sz="0" w:space="0" w:color="auto"/>
      </w:divBdr>
    </w:div>
    <w:div w:id="1635060752">
      <w:bodyDiv w:val="1"/>
      <w:marLeft w:val="0"/>
      <w:marRight w:val="0"/>
      <w:marTop w:val="0"/>
      <w:marBottom w:val="0"/>
      <w:divBdr>
        <w:top w:val="none" w:sz="0" w:space="0" w:color="auto"/>
        <w:left w:val="none" w:sz="0" w:space="0" w:color="auto"/>
        <w:bottom w:val="none" w:sz="0" w:space="0" w:color="auto"/>
        <w:right w:val="none" w:sz="0" w:space="0" w:color="auto"/>
      </w:divBdr>
    </w:div>
    <w:div w:id="1703823210">
      <w:bodyDiv w:val="1"/>
      <w:marLeft w:val="0"/>
      <w:marRight w:val="0"/>
      <w:marTop w:val="0"/>
      <w:marBottom w:val="0"/>
      <w:divBdr>
        <w:top w:val="none" w:sz="0" w:space="0" w:color="auto"/>
        <w:left w:val="none" w:sz="0" w:space="0" w:color="auto"/>
        <w:bottom w:val="none" w:sz="0" w:space="0" w:color="auto"/>
        <w:right w:val="none" w:sz="0" w:space="0" w:color="auto"/>
      </w:divBdr>
    </w:div>
    <w:div w:id="1832672631">
      <w:bodyDiv w:val="1"/>
      <w:marLeft w:val="0"/>
      <w:marRight w:val="0"/>
      <w:marTop w:val="0"/>
      <w:marBottom w:val="0"/>
      <w:divBdr>
        <w:top w:val="none" w:sz="0" w:space="0" w:color="auto"/>
        <w:left w:val="none" w:sz="0" w:space="0" w:color="auto"/>
        <w:bottom w:val="none" w:sz="0" w:space="0" w:color="auto"/>
        <w:right w:val="none" w:sz="0" w:space="0" w:color="auto"/>
      </w:divBdr>
    </w:div>
    <w:div w:id="1855797657">
      <w:bodyDiv w:val="1"/>
      <w:marLeft w:val="0"/>
      <w:marRight w:val="0"/>
      <w:marTop w:val="0"/>
      <w:marBottom w:val="0"/>
      <w:divBdr>
        <w:top w:val="none" w:sz="0" w:space="0" w:color="auto"/>
        <w:left w:val="none" w:sz="0" w:space="0" w:color="auto"/>
        <w:bottom w:val="none" w:sz="0" w:space="0" w:color="auto"/>
        <w:right w:val="none" w:sz="0" w:space="0" w:color="auto"/>
      </w:divBdr>
    </w:div>
    <w:div w:id="1957953909">
      <w:bodyDiv w:val="1"/>
      <w:marLeft w:val="0"/>
      <w:marRight w:val="0"/>
      <w:marTop w:val="0"/>
      <w:marBottom w:val="0"/>
      <w:divBdr>
        <w:top w:val="none" w:sz="0" w:space="0" w:color="auto"/>
        <w:left w:val="none" w:sz="0" w:space="0" w:color="auto"/>
        <w:bottom w:val="none" w:sz="0" w:space="0" w:color="auto"/>
        <w:right w:val="none" w:sz="0" w:space="0" w:color="auto"/>
      </w:divBdr>
      <w:divsChild>
        <w:div w:id="912667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6898243">
      <w:bodyDiv w:val="1"/>
      <w:marLeft w:val="0"/>
      <w:marRight w:val="0"/>
      <w:marTop w:val="0"/>
      <w:marBottom w:val="0"/>
      <w:divBdr>
        <w:top w:val="none" w:sz="0" w:space="0" w:color="auto"/>
        <w:left w:val="none" w:sz="0" w:space="0" w:color="auto"/>
        <w:bottom w:val="none" w:sz="0" w:space="0" w:color="auto"/>
        <w:right w:val="none" w:sz="0" w:space="0" w:color="auto"/>
      </w:divBdr>
      <w:divsChild>
        <w:div w:id="1919510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76ADF-4D8A-4DAE-872F-447ED9429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6502</Words>
  <Characters>32515</Characters>
  <Application>Microsoft Office Word</Application>
  <DocSecurity>4</DocSecurity>
  <Lines>270</Lines>
  <Paragraphs>77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Energy and Infrastructure</Company>
  <LinksUpToDate>false</LinksUpToDate>
  <CharactersWithSpaces>38940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אליהו-חן שאול</dc:creator>
  <cp:keywords/>
  <dc:description/>
  <cp:lastModifiedBy>תהילה יששכר</cp:lastModifiedBy>
  <cp:revision>2</cp:revision>
  <dcterms:created xsi:type="dcterms:W3CDTF">2025-11-03T17:02:00Z</dcterms:created>
  <dcterms:modified xsi:type="dcterms:W3CDTF">2025-11-03T17:02:00Z</dcterms:modified>
</cp:coreProperties>
</file>